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7C" w:rsidRPr="00C47C3C" w:rsidRDefault="00AB447C" w:rsidP="00AB447C">
      <w:pPr>
        <w:jc w:val="center"/>
        <w:rPr>
          <w:rFonts w:cstheme="minorHAnsi"/>
          <w:b/>
        </w:rPr>
      </w:pPr>
      <w:r w:rsidRPr="00C47C3C">
        <w:rPr>
          <w:rFonts w:cstheme="minorHAnsi"/>
          <w:b/>
        </w:rPr>
        <w:t>Informe representante de los trabajadores a la asamblea en Bogotá, agosto 15 de 2018.</w:t>
      </w:r>
    </w:p>
    <w:p w:rsidR="00AB447C" w:rsidRPr="00C47C3C" w:rsidRDefault="00AB447C" w:rsidP="008700AD">
      <w:pPr>
        <w:jc w:val="center"/>
        <w:rPr>
          <w:rFonts w:cstheme="minorHAnsi"/>
          <w:b/>
        </w:rPr>
      </w:pPr>
      <w:r w:rsidRPr="00C47C3C">
        <w:rPr>
          <w:rFonts w:cstheme="minorHAnsi"/>
          <w:b/>
        </w:rPr>
        <w:t xml:space="preserve">Roberto A. Dáger Espeleta </w:t>
      </w:r>
    </w:p>
    <w:p w:rsidR="00AB447C" w:rsidRPr="00C47C3C" w:rsidRDefault="00AB447C" w:rsidP="00AB447C">
      <w:pPr>
        <w:pStyle w:val="Prrafodelista"/>
        <w:rPr>
          <w:rFonts w:cstheme="minorHAnsi"/>
          <w:b/>
          <w:u w:val="single"/>
        </w:rPr>
      </w:pPr>
    </w:p>
    <w:p w:rsidR="008700AD" w:rsidRPr="00C47C3C" w:rsidRDefault="008700AD" w:rsidP="008700AD">
      <w:pPr>
        <w:pStyle w:val="Prrafodelista"/>
        <w:numPr>
          <w:ilvl w:val="0"/>
          <w:numId w:val="4"/>
        </w:numPr>
        <w:rPr>
          <w:rFonts w:cstheme="minorHAnsi"/>
          <w:b/>
          <w:u w:val="single"/>
        </w:rPr>
      </w:pPr>
      <w:r w:rsidRPr="00C47C3C">
        <w:rPr>
          <w:rFonts w:cstheme="minorHAnsi"/>
          <w:b/>
          <w:u w:val="single"/>
        </w:rPr>
        <w:t xml:space="preserve">Aspectos en </w:t>
      </w:r>
      <w:proofErr w:type="gramStart"/>
      <w:r w:rsidRPr="00C47C3C">
        <w:rPr>
          <w:rFonts w:cstheme="minorHAnsi"/>
          <w:b/>
          <w:u w:val="single"/>
        </w:rPr>
        <w:t>la reuniones</w:t>
      </w:r>
      <w:proofErr w:type="gramEnd"/>
      <w:r w:rsidRPr="00C47C3C">
        <w:rPr>
          <w:rFonts w:cstheme="minorHAnsi"/>
          <w:b/>
          <w:u w:val="single"/>
        </w:rPr>
        <w:t xml:space="preserve"> del Comité asesor del CEF </w:t>
      </w:r>
    </w:p>
    <w:p w:rsidR="008700AD" w:rsidRPr="00C47C3C" w:rsidRDefault="008700AD" w:rsidP="008700AD">
      <w:pPr>
        <w:pStyle w:val="Piedepgina"/>
        <w:numPr>
          <w:ilvl w:val="0"/>
          <w:numId w:val="1"/>
        </w:numPr>
        <w:tabs>
          <w:tab w:val="left" w:pos="0"/>
        </w:tabs>
        <w:jc w:val="both"/>
        <w:rPr>
          <w:rFonts w:asciiTheme="minorHAnsi" w:hAnsiTheme="minorHAnsi" w:cstheme="minorHAnsi"/>
          <w:bCs/>
        </w:rPr>
      </w:pPr>
      <w:r w:rsidRPr="00C47C3C">
        <w:rPr>
          <w:rFonts w:asciiTheme="minorHAnsi" w:hAnsiTheme="minorHAnsi" w:cstheme="minorHAnsi"/>
          <w:bCs/>
        </w:rPr>
        <w:t>El representante de los trabajadores pone en consideración el evento de capacitación que se encuentra pendiente dirigido a los ingenieros civiles de la Contraloría General de la República. El señor Contralor manifiesta su interés y compromiso en la realización de dicho evento. Sin embargo, teniendo en cuenta que la población objetivo abarca 150 servidores a nivel nacional y que no hay recursos disponibles en la presente vigencia, se propone su realización para el año 2018.</w:t>
      </w:r>
    </w:p>
    <w:p w:rsidR="00796AB8" w:rsidRPr="00C47C3C" w:rsidRDefault="00796AB8" w:rsidP="00796AB8">
      <w:pPr>
        <w:pStyle w:val="Piedepgina"/>
        <w:tabs>
          <w:tab w:val="left" w:pos="0"/>
        </w:tabs>
        <w:ind w:left="720"/>
        <w:jc w:val="both"/>
        <w:rPr>
          <w:rFonts w:asciiTheme="minorHAnsi" w:hAnsiTheme="minorHAnsi" w:cstheme="minorHAnsi"/>
          <w:bCs/>
        </w:rPr>
      </w:pPr>
    </w:p>
    <w:p w:rsidR="008700AD" w:rsidRPr="00C47C3C" w:rsidRDefault="008700AD" w:rsidP="008700AD">
      <w:pPr>
        <w:pStyle w:val="Piedepgina"/>
        <w:numPr>
          <w:ilvl w:val="0"/>
          <w:numId w:val="1"/>
        </w:numPr>
        <w:tabs>
          <w:tab w:val="left" w:pos="0"/>
        </w:tabs>
        <w:jc w:val="both"/>
        <w:rPr>
          <w:rFonts w:asciiTheme="minorHAnsi" w:hAnsiTheme="minorHAnsi" w:cstheme="minorHAnsi"/>
          <w:bCs/>
        </w:rPr>
      </w:pPr>
      <w:r w:rsidRPr="00C47C3C">
        <w:rPr>
          <w:rFonts w:asciiTheme="minorHAnsi" w:hAnsiTheme="minorHAnsi" w:cstheme="minorHAnsi"/>
          <w:bCs/>
        </w:rPr>
        <w:t xml:space="preserve">Al respecto, se efectuó con algunos ingenieros civiles de la CGR de varias delegadas del nivel central una reunión con </w:t>
      </w:r>
      <w:proofErr w:type="spellStart"/>
      <w:r w:rsidRPr="00C47C3C">
        <w:rPr>
          <w:rFonts w:asciiTheme="minorHAnsi" w:hAnsiTheme="minorHAnsi" w:cstheme="minorHAnsi"/>
          <w:bCs/>
        </w:rPr>
        <w:t>Asocreto</w:t>
      </w:r>
      <w:proofErr w:type="spellEnd"/>
      <w:r w:rsidRPr="00C47C3C">
        <w:rPr>
          <w:rFonts w:asciiTheme="minorHAnsi" w:hAnsiTheme="minorHAnsi" w:cstheme="minorHAnsi"/>
          <w:bCs/>
        </w:rPr>
        <w:t xml:space="preserve"> el día 12 de julio; los aspectos relevantes fueron los siguientes:</w:t>
      </w:r>
    </w:p>
    <w:p w:rsidR="008700AD" w:rsidRPr="00C47C3C" w:rsidRDefault="008700AD" w:rsidP="008700AD">
      <w:pPr>
        <w:pStyle w:val="Piedepgina"/>
        <w:tabs>
          <w:tab w:val="left" w:pos="0"/>
        </w:tabs>
        <w:ind w:left="0"/>
        <w:jc w:val="both"/>
        <w:rPr>
          <w:rFonts w:asciiTheme="minorHAnsi" w:hAnsiTheme="minorHAnsi" w:cstheme="minorHAnsi"/>
          <w:bCs/>
        </w:rPr>
      </w:pPr>
    </w:p>
    <w:p w:rsidR="008700AD" w:rsidRPr="00C47C3C" w:rsidRDefault="008700AD" w:rsidP="008700AD">
      <w:pPr>
        <w:pStyle w:val="xmsonormal"/>
        <w:shd w:val="clear" w:color="auto" w:fill="FFFFFF"/>
        <w:spacing w:before="0" w:beforeAutospacing="0" w:after="160" w:afterAutospacing="0" w:line="233" w:lineRule="atLeast"/>
        <w:jc w:val="both"/>
        <w:rPr>
          <w:rFonts w:asciiTheme="minorHAnsi" w:eastAsia="Calibri" w:hAnsiTheme="minorHAnsi" w:cstheme="minorHAnsi"/>
          <w:bCs/>
          <w:sz w:val="22"/>
          <w:szCs w:val="22"/>
          <w:lang w:eastAsia="en-US"/>
        </w:rPr>
      </w:pPr>
      <w:r w:rsidRPr="00C47C3C">
        <w:rPr>
          <w:rFonts w:asciiTheme="minorHAnsi" w:hAnsiTheme="minorHAnsi" w:cstheme="minorHAnsi"/>
          <w:bCs/>
          <w:sz w:val="22"/>
          <w:szCs w:val="22"/>
        </w:rPr>
        <w:t xml:space="preserve">     </w:t>
      </w:r>
      <w:r w:rsidRPr="00C47C3C">
        <w:rPr>
          <w:rFonts w:asciiTheme="minorHAnsi" w:eastAsia="Calibri" w:hAnsiTheme="minorHAnsi" w:cstheme="minorHAnsi"/>
          <w:bCs/>
          <w:sz w:val="22"/>
          <w:szCs w:val="22"/>
          <w:lang w:eastAsia="en-US"/>
        </w:rPr>
        <w:t>A.        Conocer las ofertas, incluidos los contenidos de cada tópico, con el objeto de priorizar las necesidades y elaborar un requerimiento más específico.</w:t>
      </w:r>
    </w:p>
    <w:p w:rsidR="008700AD" w:rsidRPr="00C47C3C" w:rsidRDefault="008700AD" w:rsidP="008700AD">
      <w:pPr>
        <w:pStyle w:val="xmsolistparagraph"/>
        <w:shd w:val="clear" w:color="auto" w:fill="FFFFFF"/>
        <w:spacing w:before="0" w:beforeAutospacing="0" w:after="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 xml:space="preserve">B.      Suscripción a las publicaciones de </w:t>
      </w:r>
      <w:proofErr w:type="spellStart"/>
      <w:r w:rsidRPr="00C47C3C">
        <w:rPr>
          <w:rFonts w:asciiTheme="minorHAnsi" w:eastAsia="Calibri" w:hAnsiTheme="minorHAnsi" w:cstheme="minorHAnsi"/>
          <w:bCs/>
          <w:sz w:val="22"/>
          <w:szCs w:val="22"/>
          <w:lang w:eastAsia="en-US"/>
        </w:rPr>
        <w:t>Asocreto</w:t>
      </w:r>
      <w:proofErr w:type="spellEnd"/>
      <w:r w:rsidRPr="00C47C3C">
        <w:rPr>
          <w:rFonts w:asciiTheme="minorHAnsi" w:eastAsia="Calibri" w:hAnsiTheme="minorHAnsi" w:cstheme="minorHAnsi"/>
          <w:bCs/>
          <w:sz w:val="22"/>
          <w:szCs w:val="22"/>
          <w:lang w:eastAsia="en-US"/>
        </w:rPr>
        <w:t xml:space="preserve"> a nivel institucional, que sea de acceso para todos, aprovechando la biblioteca institucional y los canales virtuales, para el caso de las publicaciones on-line que tiene la organización.</w:t>
      </w:r>
    </w:p>
    <w:p w:rsidR="008700AD" w:rsidRPr="00C47C3C" w:rsidRDefault="008700AD" w:rsidP="008700AD">
      <w:pPr>
        <w:pStyle w:val="xmsolistparagraph"/>
        <w:shd w:val="clear" w:color="auto" w:fill="FFFFFF"/>
        <w:spacing w:before="0" w:beforeAutospacing="0" w:after="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C.       Evaluar la posibilidad de suscripción de un convenio </w:t>
      </w:r>
      <w:r w:rsidRPr="00C47C3C">
        <w:rPr>
          <w:rFonts w:asciiTheme="minorHAnsi" w:hAnsiTheme="minorHAnsi" w:cstheme="minorHAnsi"/>
          <w:bCs/>
          <w:sz w:val="22"/>
          <w:szCs w:val="22"/>
          <w:lang w:eastAsia="en-US"/>
        </w:rPr>
        <w:t>CGR</w:t>
      </w:r>
      <w:r w:rsidRPr="00C47C3C">
        <w:rPr>
          <w:rFonts w:asciiTheme="minorHAnsi" w:eastAsia="Calibri" w:hAnsiTheme="minorHAnsi" w:cstheme="minorHAnsi"/>
          <w:bCs/>
          <w:sz w:val="22"/>
          <w:szCs w:val="22"/>
          <w:lang w:eastAsia="en-US"/>
        </w:rPr>
        <w:t xml:space="preserve"> – ASOCRETO para acceder a conceptos técnicos específicos que se requieren y que deben estar respaldados por la firma de expertos altamente calificados, por </w:t>
      </w:r>
      <w:r w:rsidR="00E73E29" w:rsidRPr="00C47C3C">
        <w:rPr>
          <w:rFonts w:asciiTheme="minorHAnsi" w:eastAsia="Calibri" w:hAnsiTheme="minorHAnsi" w:cstheme="minorHAnsi"/>
          <w:bCs/>
          <w:sz w:val="22"/>
          <w:szCs w:val="22"/>
          <w:lang w:eastAsia="en-US"/>
        </w:rPr>
        <w:t>ejemplo,</w:t>
      </w:r>
      <w:r w:rsidRPr="00C47C3C">
        <w:rPr>
          <w:rFonts w:asciiTheme="minorHAnsi" w:eastAsia="Calibri" w:hAnsiTheme="minorHAnsi" w:cstheme="minorHAnsi"/>
          <w:bCs/>
          <w:sz w:val="22"/>
          <w:szCs w:val="22"/>
          <w:lang w:eastAsia="en-US"/>
        </w:rPr>
        <w:t xml:space="preserve"> en temas de geotecnia. Esto es de especial importancia para la Delegada de Investigaciones.</w:t>
      </w:r>
    </w:p>
    <w:p w:rsidR="008700AD" w:rsidRPr="00C47C3C" w:rsidRDefault="008700AD" w:rsidP="008700AD">
      <w:pPr>
        <w:pStyle w:val="xmsolistparagraph"/>
        <w:shd w:val="clear" w:color="auto" w:fill="FFFFFF"/>
        <w:spacing w:before="0" w:beforeAutospacing="0" w:after="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D.       Evaluar la posibilidad que las ofertas sean diplomados a los cuales tengan acceso todos los profesionales de la </w:t>
      </w:r>
      <w:r w:rsidRPr="00C47C3C">
        <w:rPr>
          <w:rFonts w:asciiTheme="minorHAnsi" w:hAnsiTheme="minorHAnsi" w:cstheme="minorHAnsi"/>
          <w:bCs/>
          <w:sz w:val="22"/>
          <w:szCs w:val="22"/>
          <w:lang w:eastAsia="en-US"/>
        </w:rPr>
        <w:t>CGR</w:t>
      </w:r>
      <w:r w:rsidRPr="00C47C3C">
        <w:rPr>
          <w:rFonts w:asciiTheme="minorHAnsi" w:eastAsia="Calibri" w:hAnsiTheme="minorHAnsi" w:cstheme="minorHAnsi"/>
          <w:bCs/>
          <w:sz w:val="22"/>
          <w:szCs w:val="22"/>
          <w:lang w:eastAsia="en-US"/>
        </w:rPr>
        <w:t>, puesto que la demanda de este tipo de actualización técnica se da en las diferentes delegadas, donde tenemos ingenieros civiles y arquitectos. El diplomado da respaldo al profesional a la hora de pronunciarse sobre un asunto en sus hallazgos.</w:t>
      </w:r>
    </w:p>
    <w:p w:rsidR="008700AD" w:rsidRPr="00C47C3C" w:rsidRDefault="008700AD" w:rsidP="008700AD">
      <w:pPr>
        <w:pStyle w:val="xmsolistparagraph"/>
        <w:shd w:val="clear" w:color="auto" w:fill="FFFFFF"/>
        <w:spacing w:before="0" w:beforeAutospacing="0" w:after="16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E.       Que tengamos la posibilidad de asistir a los congresos y seminarios, nosotros, los técnicos, como era hace años, no los directivos que no manejan el componente técnico.</w:t>
      </w:r>
    </w:p>
    <w:p w:rsidR="008700AD" w:rsidRPr="00C47C3C" w:rsidRDefault="008700AD" w:rsidP="008700AD">
      <w:pPr>
        <w:pStyle w:val="xmsonormal"/>
        <w:shd w:val="clear" w:color="auto" w:fill="FFFFFF"/>
        <w:spacing w:before="0" w:beforeAutospacing="0" w:after="160" w:afterAutospacing="0" w:line="233" w:lineRule="atLeast"/>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Además de esto, surgieron propuestas muy interesantes que esperamos sean expuestas ante el CEF:</w:t>
      </w:r>
    </w:p>
    <w:p w:rsidR="008700AD" w:rsidRPr="00C47C3C" w:rsidRDefault="008700AD" w:rsidP="008700AD">
      <w:pPr>
        <w:pStyle w:val="xmsolistparagraph"/>
        <w:shd w:val="clear" w:color="auto" w:fill="FFFFFF"/>
        <w:spacing w:before="0" w:beforeAutospacing="0" w:after="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A.       Los compañeros que son docentes, que están vinculados a consultorías, laboratorios, universidades, están interesados en dictar cursos de capacitación y actualización en los temas de su dominio temático. Esto es muy importante porque habla de la capacidad instalada y es una posibilidad de unificar el lenguaje técnico del control fiscal en materia de obras de infraestructura.</w:t>
      </w:r>
    </w:p>
    <w:p w:rsidR="008700AD" w:rsidRPr="00C47C3C" w:rsidRDefault="008700AD" w:rsidP="008700AD">
      <w:pPr>
        <w:pStyle w:val="xmsolistparagraph"/>
        <w:shd w:val="clear" w:color="auto" w:fill="FFFFFF"/>
        <w:spacing w:before="0" w:beforeAutospacing="0" w:after="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t>B.       Otros compañeros propusieron la creación de escenarios en los cuales la </w:t>
      </w:r>
      <w:r w:rsidRPr="00C47C3C">
        <w:rPr>
          <w:rFonts w:asciiTheme="minorHAnsi" w:hAnsiTheme="minorHAnsi" w:cstheme="minorHAnsi"/>
          <w:bCs/>
          <w:sz w:val="22"/>
          <w:szCs w:val="22"/>
          <w:lang w:eastAsia="en-US"/>
        </w:rPr>
        <w:t>CGR</w:t>
      </w:r>
      <w:r w:rsidRPr="00C47C3C">
        <w:rPr>
          <w:rFonts w:asciiTheme="minorHAnsi" w:eastAsia="Calibri" w:hAnsiTheme="minorHAnsi" w:cstheme="minorHAnsi"/>
          <w:bCs/>
          <w:sz w:val="22"/>
          <w:szCs w:val="22"/>
          <w:lang w:eastAsia="en-US"/>
        </w:rPr>
        <w:t> presente los resultados de sus actuaciones a nivel nacional e internacional. Esto también sería muy importante, frente a la calamidad gremial que representan las obras fracasadas y el entredicho de la ingeniería nacional. Si la </w:t>
      </w:r>
      <w:r w:rsidRPr="00C47C3C">
        <w:rPr>
          <w:rFonts w:asciiTheme="minorHAnsi" w:hAnsiTheme="minorHAnsi" w:cstheme="minorHAnsi"/>
          <w:bCs/>
          <w:sz w:val="22"/>
          <w:szCs w:val="22"/>
          <w:lang w:eastAsia="en-US"/>
        </w:rPr>
        <w:t>CGR</w:t>
      </w:r>
      <w:r w:rsidRPr="00C47C3C">
        <w:rPr>
          <w:rFonts w:asciiTheme="minorHAnsi" w:eastAsia="Calibri" w:hAnsiTheme="minorHAnsi" w:cstheme="minorHAnsi"/>
          <w:bCs/>
          <w:sz w:val="22"/>
          <w:szCs w:val="22"/>
          <w:lang w:eastAsia="en-US"/>
        </w:rPr>
        <w:t> hace el señalamiento de sus resultados, puede realmente generar cambios, ajustes, desde lo pensum de las universidades, hasta la composición gremial, porque la causa del descalabro en la obra civil colombiana radica en que la prioridad en las propuestas es financiera y no es técnica.</w:t>
      </w:r>
    </w:p>
    <w:p w:rsidR="008700AD" w:rsidRPr="00C47C3C" w:rsidRDefault="008700AD" w:rsidP="008700AD">
      <w:pPr>
        <w:pStyle w:val="xmsolistparagraph"/>
        <w:shd w:val="clear" w:color="auto" w:fill="FFFFFF"/>
        <w:spacing w:before="0" w:beforeAutospacing="0" w:after="160" w:afterAutospacing="0" w:line="233" w:lineRule="atLeast"/>
        <w:ind w:left="720" w:hanging="360"/>
        <w:jc w:val="both"/>
        <w:rPr>
          <w:rFonts w:asciiTheme="minorHAnsi" w:eastAsia="Calibri" w:hAnsiTheme="minorHAnsi" w:cstheme="minorHAnsi"/>
          <w:bCs/>
          <w:sz w:val="22"/>
          <w:szCs w:val="22"/>
          <w:lang w:eastAsia="en-US"/>
        </w:rPr>
      </w:pPr>
      <w:r w:rsidRPr="00C47C3C">
        <w:rPr>
          <w:rFonts w:asciiTheme="minorHAnsi" w:eastAsia="Calibri" w:hAnsiTheme="minorHAnsi" w:cstheme="minorHAnsi"/>
          <w:bCs/>
          <w:sz w:val="22"/>
          <w:szCs w:val="22"/>
          <w:lang w:eastAsia="en-US"/>
        </w:rPr>
        <w:lastRenderedPageBreak/>
        <w:t>C.       Los profesionales que se vincularon en esta administración, solicitaron una biblioteca técnica o al menos el acceso a los servicios virtuales de las universidades, por cuanto a través de la academia es posible mantenerse actualizado y referirse a tales actualizaciones a la hora de redactar observaciones y pronunciamientos de política pública.</w:t>
      </w:r>
    </w:p>
    <w:p w:rsidR="008700AD" w:rsidRPr="00C47C3C" w:rsidRDefault="00091CD9" w:rsidP="00091CD9">
      <w:pPr>
        <w:pStyle w:val="Piedepgina"/>
        <w:numPr>
          <w:ilvl w:val="0"/>
          <w:numId w:val="7"/>
        </w:numPr>
        <w:tabs>
          <w:tab w:val="left" w:pos="0"/>
        </w:tabs>
        <w:jc w:val="both"/>
        <w:rPr>
          <w:rFonts w:asciiTheme="minorHAnsi" w:hAnsiTheme="minorHAnsi" w:cstheme="minorHAnsi"/>
          <w:bCs/>
        </w:rPr>
      </w:pPr>
      <w:r w:rsidRPr="00C47C3C">
        <w:rPr>
          <w:rFonts w:asciiTheme="minorHAnsi" w:hAnsiTheme="minorHAnsi" w:cstheme="minorHAnsi"/>
          <w:bCs/>
        </w:rPr>
        <w:t xml:space="preserve">Se logró que </w:t>
      </w:r>
      <w:proofErr w:type="spellStart"/>
      <w:r w:rsidRPr="00C47C3C">
        <w:rPr>
          <w:rFonts w:asciiTheme="minorHAnsi" w:hAnsiTheme="minorHAnsi" w:cstheme="minorHAnsi"/>
          <w:b/>
          <w:bCs/>
          <w:i/>
        </w:rPr>
        <w:t>Asocreto</w:t>
      </w:r>
      <w:proofErr w:type="spellEnd"/>
      <w:r w:rsidRPr="00C47C3C">
        <w:rPr>
          <w:rFonts w:asciiTheme="minorHAnsi" w:hAnsiTheme="minorHAnsi" w:cstheme="minorHAnsi"/>
          <w:b/>
          <w:bCs/>
          <w:u w:val="single"/>
        </w:rPr>
        <w:t xml:space="preserve"> </w:t>
      </w:r>
      <w:r w:rsidRPr="00C47C3C">
        <w:rPr>
          <w:rFonts w:asciiTheme="minorHAnsi" w:hAnsiTheme="minorHAnsi" w:cstheme="minorHAnsi"/>
          <w:bCs/>
        </w:rPr>
        <w:t xml:space="preserve">otorgará un cupo a un funcionario d la CGR para el evento que se efectuó por esa entidad a finales de julio en Bogotá. </w:t>
      </w:r>
    </w:p>
    <w:p w:rsidR="00091CD9" w:rsidRPr="00C47C3C" w:rsidRDefault="00091CD9" w:rsidP="008700AD">
      <w:pPr>
        <w:pStyle w:val="Piedepgina"/>
        <w:tabs>
          <w:tab w:val="left" w:pos="0"/>
        </w:tabs>
        <w:ind w:left="0"/>
        <w:jc w:val="both"/>
        <w:rPr>
          <w:rFonts w:asciiTheme="minorHAnsi" w:hAnsiTheme="minorHAnsi" w:cstheme="minorHAnsi"/>
          <w:bCs/>
        </w:rPr>
      </w:pPr>
    </w:p>
    <w:p w:rsidR="008700AD" w:rsidRPr="00C47C3C" w:rsidRDefault="008700AD" w:rsidP="008700AD">
      <w:pPr>
        <w:pStyle w:val="Prrafodelista"/>
        <w:numPr>
          <w:ilvl w:val="0"/>
          <w:numId w:val="1"/>
        </w:numPr>
        <w:tabs>
          <w:tab w:val="left" w:pos="284"/>
        </w:tabs>
        <w:spacing w:after="0" w:line="240" w:lineRule="auto"/>
        <w:jc w:val="both"/>
        <w:rPr>
          <w:rFonts w:cstheme="minorHAnsi"/>
          <w:b/>
          <w:bCs/>
        </w:rPr>
      </w:pPr>
      <w:r w:rsidRPr="00C47C3C">
        <w:rPr>
          <w:rFonts w:cstheme="minorHAnsi"/>
          <w:b/>
          <w:bCs/>
        </w:rPr>
        <w:t>Consideración solicitudes crédito educativo 2017</w:t>
      </w:r>
    </w:p>
    <w:p w:rsidR="008700AD" w:rsidRPr="00C47C3C" w:rsidRDefault="008700AD" w:rsidP="008700AD">
      <w:pPr>
        <w:tabs>
          <w:tab w:val="left" w:pos="284"/>
        </w:tabs>
        <w:spacing w:after="0" w:line="240" w:lineRule="auto"/>
        <w:jc w:val="both"/>
        <w:rPr>
          <w:rFonts w:cstheme="minorHAnsi"/>
          <w:b/>
          <w:bCs/>
        </w:rPr>
      </w:pPr>
    </w:p>
    <w:p w:rsidR="008700AD" w:rsidRPr="00C47C3C" w:rsidRDefault="008700AD" w:rsidP="00C47C3C">
      <w:pPr>
        <w:tabs>
          <w:tab w:val="left" w:pos="0"/>
        </w:tabs>
        <w:ind w:left="360"/>
        <w:jc w:val="both"/>
        <w:rPr>
          <w:rFonts w:cstheme="minorHAnsi"/>
        </w:rPr>
      </w:pPr>
      <w:r w:rsidRPr="00C47C3C">
        <w:rPr>
          <w:rFonts w:cstheme="minorHAnsi"/>
        </w:rPr>
        <w:t>En la sesión del 28 y 29 de noviembre, se decidió sobre las solicitudes de crédito educativo recibidas correspondientes a la Convocatoria 001 de 2017 y sus adendas así:</w:t>
      </w:r>
    </w:p>
    <w:p w:rsidR="008700AD" w:rsidRPr="00C47C3C" w:rsidRDefault="008700AD" w:rsidP="008700AD">
      <w:pPr>
        <w:pStyle w:val="Piedepgina"/>
        <w:tabs>
          <w:tab w:val="left" w:pos="0"/>
        </w:tabs>
        <w:ind w:left="397"/>
        <w:jc w:val="both"/>
        <w:rPr>
          <w:rFonts w:asciiTheme="minorHAnsi" w:hAnsiTheme="minorHAnsi" w:cstheme="minorHAnsi"/>
        </w:rPr>
      </w:pPr>
      <w:r w:rsidRPr="00C47C3C">
        <w:rPr>
          <w:rFonts w:asciiTheme="minorHAnsi" w:hAnsiTheme="minorHAnsi" w:cstheme="minorHAnsi"/>
          <w:b/>
          <w:bCs/>
          <w:lang w:val="es-ES"/>
        </w:rPr>
        <w:t xml:space="preserve">LISTADOS PRELIMINARES: </w:t>
      </w:r>
      <w:r w:rsidRPr="00C47C3C">
        <w:rPr>
          <w:rFonts w:asciiTheme="minorHAnsi" w:hAnsiTheme="minorHAnsi" w:cstheme="minorHAnsi"/>
          <w:bCs/>
          <w:lang w:val="es-ES"/>
        </w:rPr>
        <w:t>Publicados el 24 de octubre de 2017</w:t>
      </w:r>
    </w:p>
    <w:p w:rsidR="008700AD" w:rsidRPr="00C47C3C" w:rsidRDefault="008700AD" w:rsidP="008700AD">
      <w:pPr>
        <w:pStyle w:val="Piedepgina"/>
        <w:tabs>
          <w:tab w:val="left" w:pos="0"/>
        </w:tabs>
        <w:ind w:left="397"/>
        <w:jc w:val="both"/>
        <w:rPr>
          <w:rFonts w:asciiTheme="minorHAnsi" w:hAnsiTheme="minorHAnsi" w:cstheme="minorHAnsi"/>
        </w:rPr>
      </w:pPr>
      <w:proofErr w:type="gramStart"/>
      <w:r w:rsidRPr="00C47C3C">
        <w:rPr>
          <w:rFonts w:asciiTheme="minorHAnsi" w:hAnsiTheme="minorHAnsi" w:cstheme="minorHAnsi"/>
          <w:lang w:val="es-ES"/>
        </w:rPr>
        <w:t>Total</w:t>
      </w:r>
      <w:proofErr w:type="gramEnd"/>
      <w:r w:rsidRPr="00C47C3C">
        <w:rPr>
          <w:rFonts w:asciiTheme="minorHAnsi" w:hAnsiTheme="minorHAnsi" w:cstheme="minorHAnsi"/>
          <w:lang w:val="es-ES"/>
        </w:rPr>
        <w:t xml:space="preserve"> Solicitudes Recibidas:  190</w:t>
      </w:r>
    </w:p>
    <w:p w:rsidR="008700AD" w:rsidRPr="00C47C3C" w:rsidRDefault="008700AD" w:rsidP="008700AD">
      <w:pPr>
        <w:pStyle w:val="Piedepgina"/>
        <w:tabs>
          <w:tab w:val="left" w:pos="0"/>
        </w:tabs>
        <w:ind w:left="397"/>
        <w:jc w:val="both"/>
        <w:rPr>
          <w:rFonts w:asciiTheme="minorHAnsi" w:hAnsiTheme="minorHAnsi" w:cstheme="minorHAnsi"/>
        </w:rPr>
      </w:pPr>
      <w:r w:rsidRPr="00C47C3C">
        <w:rPr>
          <w:rFonts w:asciiTheme="minorHAnsi" w:hAnsiTheme="minorHAnsi" w:cstheme="minorHAnsi"/>
          <w:lang w:val="es-ES"/>
        </w:rPr>
        <w:t>Solicitudes admitidas:  139</w:t>
      </w:r>
    </w:p>
    <w:p w:rsidR="008700AD" w:rsidRPr="00C47C3C" w:rsidRDefault="008700AD" w:rsidP="008700AD">
      <w:pPr>
        <w:pStyle w:val="Piedepgina"/>
        <w:tabs>
          <w:tab w:val="left" w:pos="0"/>
        </w:tabs>
        <w:ind w:left="397"/>
        <w:jc w:val="both"/>
        <w:rPr>
          <w:rFonts w:asciiTheme="minorHAnsi" w:hAnsiTheme="minorHAnsi" w:cstheme="minorHAnsi"/>
        </w:rPr>
      </w:pPr>
      <w:r w:rsidRPr="00C47C3C">
        <w:rPr>
          <w:rFonts w:asciiTheme="minorHAnsi" w:hAnsiTheme="minorHAnsi" w:cstheme="minorHAnsi"/>
          <w:lang w:val="es-ES"/>
        </w:rPr>
        <w:t>Solicitudes no admitidas: 51</w:t>
      </w:r>
    </w:p>
    <w:p w:rsidR="008700AD" w:rsidRPr="00C47C3C" w:rsidRDefault="008700AD" w:rsidP="008700AD">
      <w:pPr>
        <w:pStyle w:val="Piedepgina"/>
        <w:tabs>
          <w:tab w:val="left" w:pos="0"/>
        </w:tabs>
        <w:ind w:left="397"/>
        <w:jc w:val="both"/>
        <w:rPr>
          <w:rFonts w:asciiTheme="minorHAnsi" w:hAnsiTheme="minorHAnsi" w:cstheme="minorHAnsi"/>
        </w:rPr>
      </w:pPr>
      <w:proofErr w:type="gramStart"/>
      <w:r w:rsidRPr="00C47C3C">
        <w:rPr>
          <w:rFonts w:asciiTheme="minorHAnsi" w:hAnsiTheme="minorHAnsi" w:cstheme="minorHAnsi"/>
          <w:lang w:val="es-ES"/>
        </w:rPr>
        <w:t>Total</w:t>
      </w:r>
      <w:proofErr w:type="gramEnd"/>
      <w:r w:rsidRPr="00C47C3C">
        <w:rPr>
          <w:rFonts w:asciiTheme="minorHAnsi" w:hAnsiTheme="minorHAnsi" w:cstheme="minorHAnsi"/>
          <w:lang w:val="es-ES"/>
        </w:rPr>
        <w:t xml:space="preserve"> Reclamaciones Recibidas: 56</w:t>
      </w:r>
    </w:p>
    <w:p w:rsidR="008700AD" w:rsidRPr="00C47C3C" w:rsidRDefault="008700AD" w:rsidP="008700AD">
      <w:pPr>
        <w:pStyle w:val="Piedepgina"/>
        <w:tabs>
          <w:tab w:val="left" w:pos="0"/>
        </w:tabs>
        <w:ind w:left="397"/>
        <w:jc w:val="both"/>
        <w:rPr>
          <w:rFonts w:asciiTheme="minorHAnsi" w:hAnsiTheme="minorHAnsi" w:cstheme="minorHAnsi"/>
        </w:rPr>
      </w:pPr>
    </w:p>
    <w:p w:rsidR="008700AD" w:rsidRPr="00C47C3C" w:rsidRDefault="008700AD" w:rsidP="008700AD">
      <w:pPr>
        <w:pStyle w:val="Piedepgina"/>
        <w:tabs>
          <w:tab w:val="left" w:pos="0"/>
        </w:tabs>
        <w:ind w:left="397"/>
        <w:jc w:val="both"/>
        <w:rPr>
          <w:rFonts w:asciiTheme="minorHAnsi" w:hAnsiTheme="minorHAnsi" w:cstheme="minorHAnsi"/>
          <w:b/>
        </w:rPr>
      </w:pPr>
      <w:r w:rsidRPr="00C47C3C">
        <w:rPr>
          <w:rFonts w:asciiTheme="minorHAnsi" w:hAnsiTheme="minorHAnsi" w:cstheme="minorHAnsi"/>
          <w:b/>
        </w:rPr>
        <w:t>RESULTADOS DESPUES DE RESPONDER RECLAMACIONES</w:t>
      </w:r>
    </w:p>
    <w:p w:rsidR="008700AD" w:rsidRPr="00C47C3C" w:rsidRDefault="008700AD" w:rsidP="008700AD">
      <w:pPr>
        <w:pStyle w:val="Piedepgina"/>
        <w:tabs>
          <w:tab w:val="left" w:pos="0"/>
        </w:tabs>
        <w:ind w:left="397"/>
        <w:jc w:val="both"/>
        <w:rPr>
          <w:rFonts w:asciiTheme="minorHAnsi" w:hAnsiTheme="minorHAnsi" w:cstheme="minorHAnsi"/>
        </w:rPr>
      </w:pPr>
      <w:proofErr w:type="gramStart"/>
      <w:r w:rsidRPr="00C47C3C">
        <w:rPr>
          <w:rFonts w:asciiTheme="minorHAnsi" w:hAnsiTheme="minorHAnsi" w:cstheme="minorHAnsi"/>
          <w:lang w:val="es-ES"/>
        </w:rPr>
        <w:t>Total</w:t>
      </w:r>
      <w:proofErr w:type="gramEnd"/>
      <w:r w:rsidRPr="00C47C3C">
        <w:rPr>
          <w:rFonts w:asciiTheme="minorHAnsi" w:hAnsiTheme="minorHAnsi" w:cstheme="minorHAnsi"/>
          <w:lang w:val="es-ES"/>
        </w:rPr>
        <w:t xml:space="preserve"> Solicitudes Recibidas:  190</w:t>
      </w:r>
    </w:p>
    <w:p w:rsidR="008700AD" w:rsidRPr="00C47C3C" w:rsidRDefault="008700AD" w:rsidP="008700AD">
      <w:pPr>
        <w:pStyle w:val="Piedepgina"/>
        <w:tabs>
          <w:tab w:val="left" w:pos="0"/>
        </w:tabs>
        <w:ind w:left="397"/>
        <w:jc w:val="both"/>
        <w:rPr>
          <w:rFonts w:asciiTheme="minorHAnsi" w:hAnsiTheme="minorHAnsi" w:cstheme="minorHAnsi"/>
          <w:lang w:val="es-ES"/>
        </w:rPr>
      </w:pPr>
      <w:r w:rsidRPr="00C47C3C">
        <w:rPr>
          <w:rFonts w:asciiTheme="minorHAnsi" w:hAnsiTheme="minorHAnsi" w:cstheme="minorHAnsi"/>
          <w:lang w:val="es-ES"/>
        </w:rPr>
        <w:t>Solicitudes admitidas:  146</w:t>
      </w:r>
    </w:p>
    <w:p w:rsidR="008700AD" w:rsidRPr="00C47C3C" w:rsidRDefault="008700AD" w:rsidP="008700AD">
      <w:pPr>
        <w:pStyle w:val="Piedepgina"/>
        <w:tabs>
          <w:tab w:val="left" w:pos="0"/>
        </w:tabs>
        <w:ind w:left="360"/>
        <w:jc w:val="both"/>
        <w:rPr>
          <w:rFonts w:asciiTheme="minorHAnsi" w:hAnsiTheme="minorHAnsi" w:cstheme="minorHAnsi"/>
          <w:lang w:val="es-ES"/>
        </w:rPr>
      </w:pPr>
      <w:r w:rsidRPr="00C47C3C">
        <w:rPr>
          <w:rFonts w:asciiTheme="minorHAnsi" w:hAnsiTheme="minorHAnsi" w:cstheme="minorHAnsi"/>
          <w:lang w:val="es-ES"/>
        </w:rPr>
        <w:t>Solicitudes no admitidas: 44</w:t>
      </w:r>
    </w:p>
    <w:p w:rsidR="008700AD" w:rsidRPr="00C47C3C" w:rsidRDefault="008700AD" w:rsidP="00C47C3C">
      <w:pPr>
        <w:pStyle w:val="Piedepgina"/>
        <w:tabs>
          <w:tab w:val="left" w:pos="0"/>
        </w:tabs>
        <w:ind w:left="0"/>
        <w:jc w:val="both"/>
        <w:rPr>
          <w:rFonts w:asciiTheme="minorHAnsi" w:hAnsiTheme="minorHAnsi" w:cstheme="minorHAnsi"/>
        </w:rPr>
      </w:pPr>
    </w:p>
    <w:p w:rsidR="008700AD" w:rsidRPr="00C47C3C" w:rsidRDefault="008700AD" w:rsidP="008700AD">
      <w:pPr>
        <w:pStyle w:val="Piedepgina"/>
        <w:tabs>
          <w:tab w:val="left" w:pos="0"/>
        </w:tabs>
        <w:ind w:left="0"/>
        <w:jc w:val="both"/>
        <w:rPr>
          <w:rFonts w:asciiTheme="minorHAnsi" w:hAnsiTheme="minorHAnsi" w:cstheme="minorHAnsi"/>
        </w:rPr>
      </w:pPr>
      <w:r w:rsidRPr="00C47C3C">
        <w:rPr>
          <w:rFonts w:asciiTheme="minorHAnsi" w:hAnsiTheme="minorHAnsi" w:cstheme="minorHAnsi"/>
        </w:rPr>
        <w:t>Orgánico del CEF y otros criterios como la equidad:</w:t>
      </w:r>
    </w:p>
    <w:p w:rsidR="008700AD" w:rsidRPr="00C47C3C" w:rsidRDefault="008700AD" w:rsidP="008700AD">
      <w:pPr>
        <w:pStyle w:val="Piedepgina"/>
        <w:tabs>
          <w:tab w:val="left" w:pos="0"/>
        </w:tabs>
        <w:ind w:left="0"/>
        <w:jc w:val="both"/>
        <w:rPr>
          <w:rFonts w:asciiTheme="minorHAnsi" w:hAnsiTheme="minorHAnsi" w:cstheme="minorHAnsi"/>
        </w:rPr>
      </w:pPr>
    </w:p>
    <w:tbl>
      <w:tblPr>
        <w:tblW w:w="9209" w:type="dxa"/>
        <w:tblCellMar>
          <w:left w:w="0" w:type="dxa"/>
          <w:right w:w="0" w:type="dxa"/>
        </w:tblCellMar>
        <w:tblLook w:val="0600" w:firstRow="0" w:lastRow="0" w:firstColumn="0" w:lastColumn="0" w:noHBand="1" w:noVBand="1"/>
      </w:tblPr>
      <w:tblGrid>
        <w:gridCol w:w="385"/>
        <w:gridCol w:w="5139"/>
        <w:gridCol w:w="1701"/>
        <w:gridCol w:w="1984"/>
      </w:tblGrid>
      <w:tr w:rsidR="008700AD" w:rsidRPr="00C47C3C" w:rsidTr="00070795">
        <w:trPr>
          <w:trHeight w:val="525"/>
        </w:trPr>
        <w:tc>
          <w:tcPr>
            <w:tcW w:w="385" w:type="dxa"/>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b/>
                <w:bCs/>
                <w:color w:val="000000"/>
                <w:kern w:val="24"/>
                <w:lang w:eastAsia="es-CO"/>
              </w:rPr>
              <w:t>No.</w:t>
            </w:r>
          </w:p>
        </w:tc>
        <w:tc>
          <w:tcPr>
            <w:tcW w:w="5139" w:type="dxa"/>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b/>
                <w:bCs/>
                <w:color w:val="000000"/>
                <w:kern w:val="24"/>
                <w:lang w:eastAsia="es-CO"/>
              </w:rPr>
              <w:t>PROPUESTA</w:t>
            </w:r>
          </w:p>
        </w:tc>
        <w:tc>
          <w:tcPr>
            <w:tcW w:w="1701" w:type="dxa"/>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b/>
                <w:bCs/>
                <w:color w:val="000000"/>
                <w:kern w:val="24"/>
                <w:lang w:eastAsia="es-CO"/>
              </w:rPr>
              <w:t>COBERTURA SOLICITUDES</w:t>
            </w:r>
          </w:p>
        </w:tc>
        <w:tc>
          <w:tcPr>
            <w:tcW w:w="1984" w:type="dxa"/>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b/>
                <w:bCs/>
                <w:color w:val="000000"/>
                <w:kern w:val="24"/>
                <w:lang w:eastAsia="es-CO"/>
              </w:rPr>
              <w:t>MONTO TOTAL</w:t>
            </w:r>
          </w:p>
        </w:tc>
      </w:tr>
      <w:tr w:rsidR="008700AD" w:rsidRPr="00C47C3C" w:rsidTr="00070795">
        <w:trPr>
          <w:trHeight w:val="534"/>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1</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textAlignment w:val="center"/>
              <w:rPr>
                <w:rFonts w:eastAsia="Times New Roman" w:cstheme="minorHAnsi"/>
                <w:lang w:eastAsia="es-CO"/>
              </w:rPr>
            </w:pPr>
            <w:r w:rsidRPr="00C47C3C">
              <w:rPr>
                <w:rFonts w:eastAsia="Times New Roman" w:cstheme="minorHAnsi"/>
                <w:color w:val="000000"/>
                <w:kern w:val="24"/>
                <w:lang w:eastAsia="es-CO"/>
              </w:rPr>
              <w:t>Aplicación de criterios de valoración Estatuto Orgánico del CEF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82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$547.776.718</w:t>
            </w:r>
          </w:p>
        </w:tc>
      </w:tr>
      <w:tr w:rsidR="008700AD" w:rsidRPr="00C47C3C" w:rsidTr="00070795">
        <w:trPr>
          <w:trHeight w:val="542"/>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2</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textAlignment w:val="center"/>
              <w:rPr>
                <w:rFonts w:eastAsia="Times New Roman" w:cstheme="minorHAnsi"/>
                <w:lang w:eastAsia="es-CO"/>
              </w:rPr>
            </w:pPr>
            <w:r w:rsidRPr="00C47C3C">
              <w:rPr>
                <w:rFonts w:eastAsia="Times New Roman" w:cstheme="minorHAnsi"/>
                <w:color w:val="000000"/>
                <w:kern w:val="24"/>
                <w:lang w:eastAsia="es-CO"/>
              </w:rPr>
              <w:t>10 primeras solicitudes según criterios de valoración 100% - Las demás solicitudes 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146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$543.201.425</w:t>
            </w:r>
          </w:p>
        </w:tc>
      </w:tr>
      <w:tr w:rsidR="008700AD" w:rsidRPr="00C47C3C" w:rsidTr="00070795">
        <w:trPr>
          <w:trHeight w:val="2311"/>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3</w:t>
            </w:r>
          </w:p>
        </w:tc>
        <w:tc>
          <w:tcPr>
            <w:tcW w:w="51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8700AD" w:rsidRPr="00C47C3C" w:rsidRDefault="008700AD" w:rsidP="00070795">
            <w:pPr>
              <w:spacing w:after="0" w:line="240" w:lineRule="auto"/>
              <w:textAlignment w:val="bottom"/>
              <w:rPr>
                <w:rFonts w:eastAsia="Times New Roman" w:cstheme="minorHAnsi"/>
                <w:lang w:eastAsia="es-CO"/>
              </w:rPr>
            </w:pPr>
            <w:r w:rsidRPr="00C47C3C">
              <w:rPr>
                <w:rFonts w:eastAsia="Times New Roman" w:cstheme="minorHAnsi"/>
                <w:color w:val="000000"/>
                <w:kern w:val="24"/>
                <w:lang w:eastAsia="es-CO"/>
              </w:rPr>
              <w:t xml:space="preserve">10 primeras solicitudes según criterios de valoración 100% - Las demás solicitudes porcentualmente según el monto solicitado: </w:t>
            </w:r>
            <w:r w:rsidRPr="00C47C3C">
              <w:rPr>
                <w:rFonts w:eastAsia="Times New Roman" w:cstheme="minorHAnsi"/>
                <w:color w:val="000000"/>
                <w:kern w:val="24"/>
                <w:lang w:eastAsia="es-CO"/>
              </w:rPr>
              <w:br/>
              <w:t>- $0 a $2.000.000 = 95%</w:t>
            </w:r>
            <w:r w:rsidRPr="00C47C3C">
              <w:rPr>
                <w:rFonts w:eastAsia="Times New Roman" w:cstheme="minorHAnsi"/>
                <w:color w:val="000000"/>
                <w:kern w:val="24"/>
                <w:lang w:eastAsia="es-CO"/>
              </w:rPr>
              <w:br/>
              <w:t>- $2.000.000 a $3.000.000 = 80%</w:t>
            </w:r>
            <w:r w:rsidRPr="00C47C3C">
              <w:rPr>
                <w:rFonts w:eastAsia="Times New Roman" w:cstheme="minorHAnsi"/>
                <w:color w:val="000000"/>
                <w:kern w:val="24"/>
                <w:lang w:eastAsia="es-CO"/>
              </w:rPr>
              <w:br/>
              <w:t>- $3.000.001 a $6.000.000= 70%</w:t>
            </w:r>
            <w:r w:rsidRPr="00C47C3C">
              <w:rPr>
                <w:rFonts w:eastAsia="Times New Roman" w:cstheme="minorHAnsi"/>
                <w:color w:val="000000"/>
                <w:kern w:val="24"/>
                <w:lang w:eastAsia="es-CO"/>
              </w:rPr>
              <w:br/>
              <w:t>- $6.000.001 a $9.000.000= 50%</w:t>
            </w:r>
            <w:r w:rsidRPr="00C47C3C">
              <w:rPr>
                <w:rFonts w:eastAsia="Times New Roman" w:cstheme="minorHAnsi"/>
                <w:color w:val="000000"/>
                <w:kern w:val="24"/>
                <w:lang w:eastAsia="es-CO"/>
              </w:rPr>
              <w:br/>
              <w:t>- $9.000.001 a $10.000.000= 45%</w:t>
            </w:r>
            <w:r w:rsidRPr="00C47C3C">
              <w:rPr>
                <w:rFonts w:eastAsia="Times New Roman" w:cstheme="minorHAnsi"/>
                <w:color w:val="000000"/>
                <w:kern w:val="24"/>
                <w:lang w:eastAsia="es-CO"/>
              </w:rPr>
              <w:br/>
              <w:t>- $10.000.001 y más= 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146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700AD" w:rsidRPr="00C47C3C" w:rsidRDefault="008700AD" w:rsidP="00070795">
            <w:pPr>
              <w:spacing w:after="0" w:line="240" w:lineRule="auto"/>
              <w:jc w:val="center"/>
              <w:textAlignment w:val="center"/>
              <w:rPr>
                <w:rFonts w:eastAsia="Times New Roman" w:cstheme="minorHAnsi"/>
                <w:lang w:eastAsia="es-CO"/>
              </w:rPr>
            </w:pPr>
            <w:r w:rsidRPr="00C47C3C">
              <w:rPr>
                <w:rFonts w:eastAsia="Times New Roman" w:cstheme="minorHAnsi"/>
                <w:color w:val="000000"/>
                <w:kern w:val="24"/>
                <w:lang w:eastAsia="es-CO"/>
              </w:rPr>
              <w:t>$553.483.342</w:t>
            </w:r>
          </w:p>
        </w:tc>
      </w:tr>
    </w:tbl>
    <w:p w:rsidR="008700AD" w:rsidRPr="00C47C3C" w:rsidRDefault="008700AD" w:rsidP="00C47C3C">
      <w:pPr>
        <w:pStyle w:val="Piedepgina"/>
        <w:tabs>
          <w:tab w:val="left" w:pos="0"/>
        </w:tabs>
        <w:ind w:left="0"/>
        <w:jc w:val="both"/>
        <w:rPr>
          <w:rFonts w:asciiTheme="minorHAnsi" w:hAnsiTheme="minorHAnsi" w:cstheme="minorHAnsi"/>
          <w:color w:val="000000"/>
        </w:rPr>
      </w:pPr>
    </w:p>
    <w:p w:rsidR="008700AD" w:rsidRPr="00C47C3C" w:rsidRDefault="008700AD" w:rsidP="00C47C3C">
      <w:pPr>
        <w:pStyle w:val="Piedepgina"/>
        <w:numPr>
          <w:ilvl w:val="0"/>
          <w:numId w:val="3"/>
        </w:numPr>
        <w:tabs>
          <w:tab w:val="left" w:pos="0"/>
        </w:tabs>
        <w:jc w:val="both"/>
        <w:rPr>
          <w:rFonts w:asciiTheme="minorHAnsi" w:hAnsiTheme="minorHAnsi" w:cstheme="minorHAnsi"/>
          <w:color w:val="000000"/>
        </w:rPr>
      </w:pPr>
      <w:r w:rsidRPr="00C47C3C">
        <w:rPr>
          <w:rFonts w:asciiTheme="minorHAnsi" w:hAnsiTheme="minorHAnsi" w:cstheme="minorHAnsi"/>
          <w:color w:val="000000"/>
        </w:rPr>
        <w:t>El representante de los trabajadores manifiesta la necesidad de realizar un proceso pedagógico sobre el Estatuto Orgánico del CEF para todos los servidores públicos de la Contraloría General con el propósito de aclarar aspectos que pueden ser confusos durante el desarrollo de las convocatorias de crédito, y así reducir los errores en la presentación de solicitudes y las reclamaciones durante el proceso.</w:t>
      </w:r>
    </w:p>
    <w:p w:rsidR="008700AD" w:rsidRPr="00C47C3C" w:rsidRDefault="008700AD" w:rsidP="008700AD">
      <w:pPr>
        <w:pStyle w:val="Piedepgina"/>
        <w:numPr>
          <w:ilvl w:val="0"/>
          <w:numId w:val="2"/>
        </w:numPr>
        <w:tabs>
          <w:tab w:val="left" w:pos="0"/>
        </w:tabs>
        <w:jc w:val="both"/>
        <w:rPr>
          <w:rFonts w:asciiTheme="minorHAnsi" w:hAnsiTheme="minorHAnsi" w:cstheme="minorHAnsi"/>
          <w:bCs/>
        </w:rPr>
      </w:pPr>
      <w:r w:rsidRPr="00C47C3C">
        <w:rPr>
          <w:rFonts w:asciiTheme="minorHAnsi" w:hAnsiTheme="minorHAnsi" w:cstheme="minorHAnsi"/>
          <w:color w:val="000000"/>
        </w:rPr>
        <w:lastRenderedPageBreak/>
        <w:t>En la sesión del 3 de abril, el representante de los trabajadores manifiesta su preocupación por la ausencia en el plan de investigación presentado, del tema de la creación e inscripción de grupos de investigación de la CGR ante Colciencias. Sobre el asunto, la directora del CEF manifiesta que se ha estado indagando y recabando información sobre los antecedentes y experiencias anteriores de la Contraloría con grupos de investigación, pero que se trata de un proceso más operativo por lo cual no considera procedente su incorporación en el documento. En todo caso y aunque no esté explícitamente señalado en el plan, el CEF está comprometido con gestionar la promoción de grupos de investigación para su inscripción y reconocimiento ante Colciencias.</w:t>
      </w:r>
    </w:p>
    <w:p w:rsidR="008700AD" w:rsidRPr="00C47C3C" w:rsidRDefault="008700AD" w:rsidP="008700AD">
      <w:pPr>
        <w:pStyle w:val="Piedepgina"/>
        <w:tabs>
          <w:tab w:val="left" w:pos="0"/>
        </w:tabs>
        <w:ind w:left="0"/>
        <w:jc w:val="both"/>
        <w:rPr>
          <w:rFonts w:asciiTheme="minorHAnsi" w:hAnsiTheme="minorHAnsi" w:cstheme="minorHAnsi"/>
          <w:bCs/>
        </w:rPr>
      </w:pPr>
    </w:p>
    <w:p w:rsidR="008700AD" w:rsidRPr="00E932A1" w:rsidRDefault="008700AD" w:rsidP="008700AD">
      <w:pPr>
        <w:pStyle w:val="Piedepgina"/>
        <w:numPr>
          <w:ilvl w:val="0"/>
          <w:numId w:val="4"/>
        </w:numPr>
        <w:tabs>
          <w:tab w:val="left" w:pos="0"/>
        </w:tabs>
        <w:jc w:val="both"/>
        <w:rPr>
          <w:rFonts w:asciiTheme="minorHAnsi" w:hAnsiTheme="minorHAnsi" w:cstheme="minorHAnsi"/>
          <w:color w:val="000000"/>
        </w:rPr>
      </w:pPr>
      <w:r w:rsidRPr="00C47C3C">
        <w:rPr>
          <w:rFonts w:asciiTheme="minorHAnsi" w:hAnsiTheme="minorHAnsi" w:cstheme="minorHAnsi"/>
          <w:color w:val="000000"/>
        </w:rPr>
        <w:t xml:space="preserve">En calidad de representante de los trabajadores ante el CEF, he interpuesto dos </w:t>
      </w:r>
      <w:r w:rsidR="00E932A1" w:rsidRPr="00C47C3C">
        <w:rPr>
          <w:rFonts w:asciiTheme="minorHAnsi" w:hAnsiTheme="minorHAnsi" w:cstheme="minorHAnsi"/>
          <w:color w:val="000000"/>
        </w:rPr>
        <w:t>requerimientos:</w:t>
      </w:r>
      <w:r w:rsidRPr="00C47C3C">
        <w:rPr>
          <w:rFonts w:asciiTheme="minorHAnsi" w:hAnsiTheme="minorHAnsi" w:cstheme="minorHAnsi"/>
          <w:color w:val="000000"/>
        </w:rPr>
        <w:t xml:space="preserve"> uno ante la oficina jurídica de la CGR y otra ante el MEN.</w:t>
      </w:r>
      <w:r w:rsidR="00E932A1">
        <w:rPr>
          <w:rFonts w:asciiTheme="minorHAnsi" w:hAnsiTheme="minorHAnsi" w:cstheme="minorHAnsi"/>
          <w:color w:val="000000"/>
        </w:rPr>
        <w:t xml:space="preserve"> </w:t>
      </w:r>
      <w:r w:rsidRPr="00E932A1">
        <w:rPr>
          <w:rFonts w:cstheme="minorHAnsi"/>
          <w:color w:val="000000"/>
        </w:rPr>
        <w:t>Con respecto a la primera, se consulta:</w:t>
      </w:r>
    </w:p>
    <w:p w:rsidR="008700AD" w:rsidRPr="00C47C3C" w:rsidRDefault="008700AD" w:rsidP="008700AD">
      <w:pPr>
        <w:spacing w:after="0"/>
        <w:jc w:val="both"/>
        <w:rPr>
          <w:rFonts w:cstheme="minorHAnsi"/>
        </w:rPr>
      </w:pPr>
    </w:p>
    <w:p w:rsidR="008700AD" w:rsidRPr="00C47C3C" w:rsidRDefault="008700AD" w:rsidP="008700AD">
      <w:pPr>
        <w:pStyle w:val="Prrafodelista"/>
        <w:numPr>
          <w:ilvl w:val="0"/>
          <w:numId w:val="6"/>
        </w:numPr>
        <w:spacing w:after="0"/>
        <w:jc w:val="both"/>
        <w:rPr>
          <w:rFonts w:eastAsia="Calibri" w:cstheme="minorHAnsi"/>
          <w:color w:val="000000"/>
        </w:rPr>
      </w:pPr>
      <w:r w:rsidRPr="00C47C3C">
        <w:rPr>
          <w:rFonts w:cstheme="minorHAnsi"/>
        </w:rPr>
        <w:t>¿</w:t>
      </w:r>
      <w:r w:rsidRPr="00C47C3C">
        <w:rPr>
          <w:rFonts w:eastAsia="Calibri" w:cstheme="minorHAnsi"/>
          <w:color w:val="000000"/>
        </w:rPr>
        <w:t xml:space="preserve">Puede un acto administrativo jerárquicamente inferior a la ley, prohibir, válidamente, que al funcionario que aplique a una convocatoria de crédito educativo e intente una reclamación, se le prohíba allegar pruebas para que sean evaluadas con ocasión de la misma, ante la publicación de listado de admitidos y no admitidos como posible beneficiario de un crédito educativo con contraprestación de servicios, según el texto que se transcribe a continuación?  </w:t>
      </w:r>
    </w:p>
    <w:p w:rsidR="008700AD" w:rsidRPr="00C47C3C" w:rsidRDefault="008700AD" w:rsidP="008700AD">
      <w:pPr>
        <w:spacing w:after="0"/>
        <w:jc w:val="both"/>
        <w:rPr>
          <w:rFonts w:eastAsia="Calibri" w:cstheme="minorHAnsi"/>
          <w:color w:val="000000"/>
        </w:rPr>
      </w:pPr>
    </w:p>
    <w:p w:rsidR="008700AD" w:rsidRPr="00C47C3C" w:rsidRDefault="008700AD" w:rsidP="008700AD">
      <w:pPr>
        <w:spacing w:after="0"/>
        <w:ind w:left="709"/>
        <w:jc w:val="both"/>
        <w:rPr>
          <w:rFonts w:eastAsia="Calibri" w:cstheme="minorHAnsi"/>
          <w:color w:val="000000"/>
        </w:rPr>
      </w:pPr>
      <w:r w:rsidRPr="00C47C3C">
        <w:rPr>
          <w:rFonts w:eastAsia="Calibri" w:cstheme="minorHAnsi"/>
          <w:color w:val="000000"/>
        </w:rPr>
        <w:t>“Resolución Organizacional 0553 de 2017, art 51.5 “Reclamaciones. Efectuada la publicación, los aspirantes dispondrán de tres (3) días hábiles para presentar las reclamaciones que estimen pertinentes o procedentes, absteniéndose de aportar documentos adicionales a los presentados en la fase de recepción de solicitudes. El Centro de Estudios Fiscales evaluará las reclamaciones recibidas y responderá a cada uno de los reclamantes, en un término no mayor a quince (15) días hábiles contados a partir de la fecha de cierre de reclamaciones, así mismo, procederá a ajustar los listados si hubiere lugar con base en las reclamaciones recibidas o en la detección de oficio de posibles errores”</w:t>
      </w:r>
    </w:p>
    <w:p w:rsidR="008700AD" w:rsidRPr="00C47C3C" w:rsidRDefault="008700AD" w:rsidP="008700AD">
      <w:pPr>
        <w:spacing w:after="0"/>
        <w:jc w:val="both"/>
        <w:rPr>
          <w:rFonts w:eastAsia="Calibri" w:cstheme="minorHAnsi"/>
          <w:color w:val="000000"/>
        </w:rPr>
      </w:pPr>
    </w:p>
    <w:p w:rsidR="008700AD" w:rsidRPr="00C47C3C" w:rsidRDefault="008700AD" w:rsidP="008700AD">
      <w:pPr>
        <w:pStyle w:val="Prrafodelista"/>
        <w:numPr>
          <w:ilvl w:val="0"/>
          <w:numId w:val="6"/>
        </w:numPr>
        <w:spacing w:after="0"/>
        <w:jc w:val="both"/>
        <w:rPr>
          <w:rFonts w:eastAsia="Calibri" w:cstheme="minorHAnsi"/>
          <w:color w:val="000000"/>
        </w:rPr>
      </w:pPr>
      <w:r w:rsidRPr="00C47C3C">
        <w:rPr>
          <w:rFonts w:eastAsia="Calibri" w:cstheme="minorHAnsi"/>
          <w:color w:val="000000"/>
        </w:rPr>
        <w:t>¿Dicha prohibición está acorde con los lineamientos jurisprudenciales sobre el contenido y alcance del debido proceso administrativo, la prevalencia del derecho sustancial sobre las formalidades procesales y la justicia material?</w:t>
      </w:r>
    </w:p>
    <w:p w:rsidR="008700AD" w:rsidRPr="00C47C3C" w:rsidRDefault="008700AD" w:rsidP="008700AD">
      <w:pPr>
        <w:spacing w:after="0"/>
        <w:jc w:val="both"/>
        <w:rPr>
          <w:rFonts w:eastAsia="Calibri" w:cstheme="minorHAnsi"/>
          <w:color w:val="000000"/>
        </w:rPr>
      </w:pPr>
    </w:p>
    <w:p w:rsidR="008700AD" w:rsidRPr="00C47C3C" w:rsidRDefault="008700AD" w:rsidP="008700AD">
      <w:pPr>
        <w:spacing w:after="0"/>
        <w:jc w:val="both"/>
        <w:rPr>
          <w:rFonts w:eastAsia="Calibri" w:cstheme="minorHAnsi"/>
          <w:color w:val="000000"/>
        </w:rPr>
      </w:pPr>
      <w:r w:rsidRPr="00C47C3C">
        <w:rPr>
          <w:rFonts w:eastAsia="Calibri" w:cstheme="minorHAnsi"/>
          <w:color w:val="000000"/>
        </w:rPr>
        <w:t>La respuesta de la Oficina jurídica de la CGR se remitió por correo a todos los funcionarios el 29 de junio.</w:t>
      </w:r>
    </w:p>
    <w:p w:rsidR="008700AD" w:rsidRPr="00C47C3C" w:rsidRDefault="008700AD" w:rsidP="008700AD">
      <w:pPr>
        <w:spacing w:after="0"/>
        <w:jc w:val="both"/>
        <w:rPr>
          <w:rFonts w:eastAsia="Calibri" w:cstheme="minorHAnsi"/>
          <w:color w:val="000000"/>
        </w:rPr>
      </w:pPr>
    </w:p>
    <w:p w:rsidR="00D53350" w:rsidRPr="00C47C3C" w:rsidRDefault="008700AD" w:rsidP="008700AD">
      <w:pPr>
        <w:shd w:val="clear" w:color="auto" w:fill="FFFFFF"/>
        <w:rPr>
          <w:rFonts w:eastAsia="Calibri" w:cstheme="minorHAnsi"/>
          <w:color w:val="000000"/>
        </w:rPr>
      </w:pPr>
      <w:r w:rsidRPr="00C47C3C">
        <w:rPr>
          <w:rFonts w:eastAsia="Calibri" w:cstheme="minorHAnsi"/>
          <w:color w:val="000000"/>
        </w:rPr>
        <w:t xml:space="preserve">En cuanto a la segunda consulta, se preguntó al MEN: </w:t>
      </w:r>
    </w:p>
    <w:p w:rsidR="008700AD" w:rsidRPr="00C47C3C" w:rsidRDefault="00D53350" w:rsidP="008637E0">
      <w:pPr>
        <w:shd w:val="clear" w:color="auto" w:fill="FFFFFF"/>
        <w:jc w:val="both"/>
        <w:rPr>
          <w:rFonts w:eastAsia="Calibri" w:cstheme="minorHAnsi"/>
          <w:color w:val="000000"/>
        </w:rPr>
      </w:pPr>
      <w:r w:rsidRPr="00C47C3C">
        <w:rPr>
          <w:rFonts w:eastAsia="Calibri" w:cstheme="minorHAnsi"/>
          <w:color w:val="000000"/>
        </w:rPr>
        <w:t>“Q</w:t>
      </w:r>
      <w:r w:rsidR="008700AD" w:rsidRPr="00C47C3C">
        <w:rPr>
          <w:rFonts w:eastAsia="Calibri" w:cstheme="minorHAnsi"/>
          <w:color w:val="000000"/>
        </w:rPr>
        <w:t>ué se entiende oficialmente y de conformidad con la legislación vigente de nuestro país, especialmente la Ley 30 de 1992, las siguientes expresiones:</w:t>
      </w:r>
    </w:p>
    <w:p w:rsidR="008700AD" w:rsidRPr="00C47C3C" w:rsidRDefault="008700AD" w:rsidP="008637E0">
      <w:pPr>
        <w:shd w:val="clear" w:color="auto" w:fill="FFFFFF"/>
        <w:spacing w:after="0" w:line="240" w:lineRule="auto"/>
        <w:jc w:val="both"/>
        <w:rPr>
          <w:rFonts w:eastAsia="Calibri" w:cstheme="minorHAnsi"/>
          <w:color w:val="000000"/>
        </w:rPr>
      </w:pPr>
      <w:r w:rsidRPr="00C47C3C">
        <w:rPr>
          <w:rFonts w:eastAsia="Calibri" w:cstheme="minorHAnsi"/>
          <w:color w:val="000000"/>
        </w:rPr>
        <w:t xml:space="preserve">a. Nivel educativo, y si este es similar a nivel académico, especialmente en lo concerniente en la educación </w:t>
      </w:r>
      <w:r w:rsidR="00C47C3C" w:rsidRPr="00C47C3C">
        <w:rPr>
          <w:rFonts w:eastAsia="Calibri" w:cstheme="minorHAnsi"/>
          <w:color w:val="000000"/>
        </w:rPr>
        <w:t>superior. En</w:t>
      </w:r>
      <w:r w:rsidRPr="00C47C3C">
        <w:rPr>
          <w:rFonts w:eastAsia="Calibri" w:cstheme="minorHAnsi"/>
          <w:color w:val="000000"/>
        </w:rPr>
        <w:t xml:space="preserve"> tal sentido se puede entender que ¿el nivel académico inmediatamente anterior de una maestría es la especialización? o ¿es el pregrado como se interpreta en la resolución interna de nuestra entidad?</w:t>
      </w:r>
    </w:p>
    <w:p w:rsidR="008700AD" w:rsidRPr="00C47C3C" w:rsidRDefault="008700AD" w:rsidP="008700AD">
      <w:pPr>
        <w:shd w:val="clear" w:color="auto" w:fill="FFFFFF"/>
        <w:spacing w:after="0" w:line="240" w:lineRule="auto"/>
        <w:rPr>
          <w:rFonts w:eastAsia="Calibri" w:cstheme="minorHAnsi"/>
          <w:color w:val="000000"/>
        </w:rPr>
      </w:pPr>
    </w:p>
    <w:p w:rsidR="007D5470" w:rsidRDefault="008700AD" w:rsidP="007D5470">
      <w:pPr>
        <w:shd w:val="clear" w:color="auto" w:fill="FFFFFF"/>
        <w:spacing w:after="0" w:line="240" w:lineRule="auto"/>
        <w:rPr>
          <w:rFonts w:eastAsia="Calibri" w:cstheme="minorHAnsi"/>
          <w:color w:val="000000"/>
        </w:rPr>
      </w:pPr>
      <w:r w:rsidRPr="00C47C3C">
        <w:rPr>
          <w:rFonts w:eastAsia="Calibri" w:cstheme="minorHAnsi"/>
          <w:color w:val="000000"/>
        </w:rPr>
        <w:t>b. Periodo inmediatamente anterior</w:t>
      </w:r>
      <w:r w:rsidR="00D53350" w:rsidRPr="00C47C3C">
        <w:rPr>
          <w:rFonts w:eastAsia="Calibri" w:cstheme="minorHAnsi"/>
          <w:color w:val="000000"/>
        </w:rPr>
        <w:t>”</w:t>
      </w:r>
      <w:r w:rsidRPr="00C47C3C">
        <w:rPr>
          <w:rFonts w:eastAsia="Calibri" w:cstheme="minorHAnsi"/>
          <w:color w:val="000000"/>
        </w:rPr>
        <w:t>.</w:t>
      </w:r>
    </w:p>
    <w:p w:rsidR="008700AD" w:rsidRPr="007D5470" w:rsidRDefault="00D53350" w:rsidP="007D5470">
      <w:pPr>
        <w:shd w:val="clear" w:color="auto" w:fill="FFFFFF"/>
        <w:spacing w:after="0" w:line="240" w:lineRule="auto"/>
        <w:rPr>
          <w:rFonts w:eastAsia="Calibri" w:cstheme="minorHAnsi"/>
          <w:color w:val="000000"/>
        </w:rPr>
      </w:pPr>
      <w:r w:rsidRPr="00C47C3C">
        <w:rPr>
          <w:rFonts w:cstheme="minorHAnsi"/>
          <w:color w:val="000000"/>
        </w:rPr>
        <w:lastRenderedPageBreak/>
        <w:t>La respuesta del MEN fue la siguiente:</w:t>
      </w:r>
    </w:p>
    <w:p w:rsidR="00D53350" w:rsidRPr="00C47C3C" w:rsidRDefault="00D53350" w:rsidP="008700AD">
      <w:pPr>
        <w:pStyle w:val="Piedepgina"/>
        <w:tabs>
          <w:tab w:val="left" w:pos="0"/>
        </w:tabs>
        <w:ind w:left="0"/>
        <w:jc w:val="both"/>
        <w:rPr>
          <w:rFonts w:asciiTheme="minorHAnsi" w:hAnsiTheme="minorHAnsi" w:cstheme="minorHAnsi"/>
          <w:color w:val="000000"/>
        </w:rPr>
      </w:pPr>
    </w:p>
    <w:p w:rsidR="00D53350" w:rsidRPr="00C47C3C" w:rsidRDefault="00D53350"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“La Ley 30 de 1992, que organiza el servicio público de educación superior, </w:t>
      </w:r>
    </w:p>
    <w:p w:rsidR="00D53350" w:rsidRPr="00C47C3C" w:rsidRDefault="00D53350"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clasifica la educación superior en los siguientes niveles de formación:  </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1. Pregrado </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2. Posgrado. </w:t>
      </w:r>
    </w:p>
    <w:p w:rsidR="00D53350" w:rsidRPr="00C47C3C" w:rsidRDefault="00D53350" w:rsidP="008700AD">
      <w:pPr>
        <w:pStyle w:val="Piedepgina"/>
        <w:tabs>
          <w:tab w:val="left" w:pos="0"/>
        </w:tabs>
        <w:ind w:left="0"/>
        <w:jc w:val="both"/>
        <w:rPr>
          <w:rFonts w:asciiTheme="minorHAnsi" w:hAnsiTheme="minorHAnsi" w:cstheme="minorHAnsi"/>
          <w:i/>
          <w:color w:val="000000"/>
        </w:rPr>
      </w:pP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El nivel de pregrado tiene, a su vez, tres niveles de formación:</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1. Nivel Técnico Profesional (relativo a programas Técnicos Profesionales).</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2. Nivel Tecnológico (relativo a programas tecnológicos).</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3. Nivel Profesional (relativo a programas profesionales universitarios).</w:t>
      </w:r>
    </w:p>
    <w:p w:rsidR="00D53350" w:rsidRPr="00C47C3C" w:rsidRDefault="00D53350" w:rsidP="008700AD">
      <w:pPr>
        <w:pStyle w:val="Piedepgina"/>
        <w:tabs>
          <w:tab w:val="left" w:pos="0"/>
        </w:tabs>
        <w:ind w:left="0"/>
        <w:jc w:val="both"/>
        <w:rPr>
          <w:rFonts w:asciiTheme="minorHAnsi" w:hAnsiTheme="minorHAnsi" w:cstheme="minorHAnsi"/>
          <w:i/>
          <w:color w:val="000000"/>
        </w:rPr>
      </w:pP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La educación de posgrado comprende los siguientes niveles:</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1.Especializaciones (relativas a programas de Especialización Técnica </w:t>
      </w:r>
      <w:r w:rsidR="009564CA">
        <w:rPr>
          <w:rFonts w:asciiTheme="minorHAnsi" w:hAnsiTheme="minorHAnsi" w:cstheme="minorHAnsi"/>
          <w:i/>
          <w:color w:val="000000"/>
        </w:rPr>
        <w:t>Profesional,</w:t>
      </w:r>
      <w:r w:rsidRPr="00C47C3C">
        <w:rPr>
          <w:rFonts w:asciiTheme="minorHAnsi" w:hAnsiTheme="minorHAnsi" w:cstheme="minorHAnsi"/>
          <w:i/>
          <w:color w:val="000000"/>
        </w:rPr>
        <w:t xml:space="preserve"> Especialización Tecnológica y Especializaciones Profesionales).</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2. Maestrías. </w:t>
      </w:r>
    </w:p>
    <w:p w:rsidR="00D53350" w:rsidRPr="00C47C3C" w:rsidRDefault="00D53350" w:rsidP="008700AD">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3. Doctorados</w:t>
      </w:r>
    </w:p>
    <w:p w:rsidR="00D53350" w:rsidRPr="00C47C3C" w:rsidRDefault="00D53350"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 xml:space="preserve"> </w:t>
      </w:r>
    </w:p>
    <w:p w:rsidR="00D53350" w:rsidRPr="00C47C3C" w:rsidRDefault="00D53350"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Pueden acceder a los programas formales de pregrado, quienes acrediten el título de bachiller y el Examen de Estado, que es la prueba oficial obligatoria quepresentan quienes egresan de la educación media y aspiran a continuar estudios de</w:t>
      </w:r>
    </w:p>
    <w:p w:rsidR="00D53350" w:rsidRPr="00C47C3C" w:rsidRDefault="00E14BF5"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educación superior</w:t>
      </w:r>
      <w:r w:rsidR="00D53350" w:rsidRPr="00C47C3C">
        <w:rPr>
          <w:rFonts w:asciiTheme="minorHAnsi" w:hAnsiTheme="minorHAnsi" w:cstheme="minorHAnsi"/>
          <w:i/>
          <w:color w:val="000000"/>
        </w:rPr>
        <w:t xml:space="preserve">. </w:t>
      </w:r>
    </w:p>
    <w:p w:rsidR="00D53350" w:rsidRPr="00C47C3C" w:rsidRDefault="00D53350"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El artículo 11 de la Ley 30 de 1992 dispone que los programas de especialización </w:t>
      </w:r>
    </w:p>
    <w:p w:rsidR="00D53350" w:rsidRPr="00C47C3C" w:rsidRDefault="00FE66A1"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son aquellos</w:t>
      </w:r>
      <w:r w:rsidR="00D53350" w:rsidRPr="00C47C3C">
        <w:rPr>
          <w:rFonts w:asciiTheme="minorHAnsi" w:hAnsiTheme="minorHAnsi" w:cstheme="minorHAnsi"/>
          <w:i/>
          <w:color w:val="000000"/>
        </w:rPr>
        <w:t> que se desarrollan con posterioridad a un programa de pregrado. </w:t>
      </w:r>
    </w:p>
    <w:p w:rsidR="00D53350" w:rsidRPr="00C47C3C" w:rsidRDefault="00FE66A1" w:rsidP="00D53350">
      <w:pPr>
        <w:pStyle w:val="Piedepgina"/>
        <w:tabs>
          <w:tab w:val="left" w:pos="0"/>
        </w:tabs>
        <w:ind w:left="0"/>
        <w:jc w:val="both"/>
        <w:rPr>
          <w:rFonts w:asciiTheme="minorHAnsi" w:hAnsiTheme="minorHAnsi" w:cstheme="minorHAnsi"/>
          <w:i/>
          <w:color w:val="000000"/>
        </w:rPr>
      </w:pPr>
      <w:r w:rsidRPr="00C47C3C">
        <w:rPr>
          <w:rFonts w:asciiTheme="minorHAnsi" w:hAnsiTheme="minorHAnsi" w:cstheme="minorHAnsi"/>
          <w:i/>
          <w:color w:val="000000"/>
        </w:rPr>
        <w:t>Por consiguiente</w:t>
      </w:r>
      <w:r w:rsidR="00D53350" w:rsidRPr="00C47C3C">
        <w:rPr>
          <w:rFonts w:asciiTheme="minorHAnsi" w:hAnsiTheme="minorHAnsi" w:cstheme="minorHAnsi"/>
          <w:i/>
          <w:color w:val="000000"/>
        </w:rPr>
        <w:t xml:space="preserve">, para acceder al nivel de posgrado (especialización, maestría y  </w:t>
      </w:r>
    </w:p>
    <w:p w:rsidR="00D53350" w:rsidRPr="00C47C3C" w:rsidRDefault="00D53350" w:rsidP="00D53350">
      <w:pPr>
        <w:pStyle w:val="Piedepgina"/>
        <w:tabs>
          <w:tab w:val="left" w:pos="0"/>
        </w:tabs>
        <w:ind w:left="0"/>
        <w:jc w:val="both"/>
        <w:rPr>
          <w:rFonts w:asciiTheme="minorHAnsi" w:hAnsiTheme="minorHAnsi" w:cstheme="minorHAnsi"/>
          <w:color w:val="000000"/>
        </w:rPr>
      </w:pPr>
      <w:r w:rsidRPr="00C47C3C">
        <w:rPr>
          <w:rFonts w:asciiTheme="minorHAnsi" w:hAnsiTheme="minorHAnsi" w:cstheme="minorHAnsi"/>
          <w:i/>
          <w:color w:val="000000"/>
        </w:rPr>
        <w:t>doctorado) se debe haber cursado un programa del nivel de pregrado</w:t>
      </w:r>
      <w:r w:rsidR="00AB447C" w:rsidRPr="00C47C3C">
        <w:rPr>
          <w:rFonts w:asciiTheme="minorHAnsi" w:hAnsiTheme="minorHAnsi" w:cstheme="minorHAnsi"/>
          <w:i/>
          <w:color w:val="000000"/>
        </w:rPr>
        <w:t>”</w:t>
      </w:r>
      <w:r w:rsidRPr="00C47C3C">
        <w:rPr>
          <w:rFonts w:asciiTheme="minorHAnsi" w:hAnsiTheme="minorHAnsi" w:cstheme="minorHAnsi"/>
          <w:i/>
          <w:color w:val="000000"/>
        </w:rPr>
        <w:t>.</w:t>
      </w:r>
      <w:r w:rsidRPr="00C47C3C">
        <w:rPr>
          <w:rFonts w:asciiTheme="minorHAnsi" w:hAnsiTheme="minorHAnsi" w:cstheme="minorHAnsi"/>
          <w:color w:val="000000"/>
        </w:rPr>
        <w:t> </w:t>
      </w:r>
    </w:p>
    <w:p w:rsidR="008700AD" w:rsidRPr="00C47C3C" w:rsidRDefault="008700AD" w:rsidP="009564CA">
      <w:pPr>
        <w:pStyle w:val="Piedepgina"/>
        <w:tabs>
          <w:tab w:val="left" w:pos="0"/>
        </w:tabs>
        <w:ind w:left="0"/>
        <w:jc w:val="both"/>
        <w:rPr>
          <w:rFonts w:asciiTheme="minorHAnsi" w:hAnsiTheme="minorHAnsi" w:cstheme="minorHAnsi"/>
          <w:color w:val="000000"/>
        </w:rPr>
      </w:pPr>
    </w:p>
    <w:p w:rsidR="00AB447C" w:rsidRPr="00C47C3C" w:rsidRDefault="00AB447C" w:rsidP="008700AD">
      <w:pPr>
        <w:pStyle w:val="Piedepgina"/>
        <w:numPr>
          <w:ilvl w:val="0"/>
          <w:numId w:val="5"/>
        </w:numPr>
        <w:tabs>
          <w:tab w:val="left" w:pos="0"/>
        </w:tabs>
        <w:jc w:val="both"/>
        <w:rPr>
          <w:rFonts w:asciiTheme="minorHAnsi" w:hAnsiTheme="minorHAnsi" w:cstheme="minorHAnsi"/>
          <w:b/>
          <w:color w:val="000000"/>
          <w:u w:val="single"/>
        </w:rPr>
      </w:pPr>
      <w:r w:rsidRPr="00C47C3C">
        <w:rPr>
          <w:rFonts w:asciiTheme="minorHAnsi" w:hAnsiTheme="minorHAnsi" w:cstheme="minorHAnsi"/>
          <w:b/>
          <w:color w:val="000000"/>
          <w:u w:val="single"/>
        </w:rPr>
        <w:t xml:space="preserve">CONVOCATORIA I-2018 </w:t>
      </w:r>
    </w:p>
    <w:p w:rsidR="00AB447C" w:rsidRPr="00C47C3C" w:rsidRDefault="00AB447C" w:rsidP="00AB447C">
      <w:pPr>
        <w:pStyle w:val="Piedepgina"/>
        <w:tabs>
          <w:tab w:val="left" w:pos="0"/>
        </w:tabs>
        <w:ind w:left="1080"/>
        <w:jc w:val="both"/>
        <w:rPr>
          <w:rFonts w:asciiTheme="minorHAnsi" w:hAnsiTheme="minorHAnsi" w:cstheme="minorHAnsi"/>
          <w:b/>
          <w:color w:val="000000"/>
          <w:u w:val="single"/>
        </w:rPr>
      </w:pPr>
    </w:p>
    <w:p w:rsidR="008700AD" w:rsidRPr="00C47C3C" w:rsidRDefault="008700AD" w:rsidP="00AB447C">
      <w:pPr>
        <w:pStyle w:val="Piedepgina"/>
        <w:tabs>
          <w:tab w:val="left" w:pos="0"/>
        </w:tabs>
        <w:ind w:left="1080"/>
        <w:jc w:val="both"/>
        <w:rPr>
          <w:rFonts w:asciiTheme="minorHAnsi" w:hAnsiTheme="minorHAnsi" w:cstheme="minorHAnsi"/>
          <w:color w:val="000000"/>
        </w:rPr>
      </w:pPr>
      <w:r w:rsidRPr="00C47C3C">
        <w:rPr>
          <w:rFonts w:asciiTheme="minorHAnsi" w:hAnsiTheme="minorHAnsi" w:cstheme="minorHAnsi"/>
          <w:color w:val="000000"/>
        </w:rPr>
        <w:t>Para la convocatoria I-20018 se presentaron 87 solicitudes, para un presupuesto de 400 millones. El 10 de agosto pasado se reunió el Comité asesor del CEF y decidió los porcentajes que se distribuirán entre los funcionarios cuyas solicitudes fueron admitidas (69).</w:t>
      </w:r>
    </w:p>
    <w:p w:rsidR="008700AD" w:rsidRPr="00C47C3C" w:rsidRDefault="008700AD" w:rsidP="001824DA">
      <w:pPr>
        <w:pStyle w:val="Sinespaciado"/>
        <w:jc w:val="both"/>
        <w:rPr>
          <w:rFonts w:cstheme="minorHAnsi"/>
          <w:lang w:eastAsia="es-CO"/>
        </w:rPr>
      </w:pPr>
    </w:p>
    <w:p w:rsidR="001824DA" w:rsidRPr="00C47C3C" w:rsidRDefault="001824DA" w:rsidP="001824DA">
      <w:pPr>
        <w:pStyle w:val="Sinespaciado"/>
        <w:jc w:val="both"/>
        <w:rPr>
          <w:rFonts w:eastAsia="Calibri" w:cstheme="minorHAnsi"/>
          <w:color w:val="000000"/>
        </w:rPr>
      </w:pPr>
      <w:r w:rsidRPr="00C47C3C">
        <w:rPr>
          <w:rFonts w:eastAsia="Calibri" w:cstheme="minorHAnsi"/>
          <w:color w:val="000000"/>
        </w:rPr>
        <w:t>El Comité Asesor del CEF, en su sesión de fecha 10 de agosto de 2018, aprobó las solicitudes de crédito educativo con contraprestaciones, vigencia 2018, a los servidores públicos que cumplieron con los requisitos exigidos en la convocatoria 001 de 2018 y normativa vigente, teniendo en cuenta la disponibilidad presupuestal y el monto solicitado, con la siguiente distribución:</w:t>
      </w:r>
    </w:p>
    <w:p w:rsidR="00AB447C" w:rsidRPr="00C47C3C" w:rsidRDefault="00AB447C">
      <w:pPr>
        <w:rPr>
          <w:rFonts w:cstheme="minorHAnsi"/>
        </w:rPr>
      </w:pPr>
    </w:p>
    <w:tbl>
      <w:tblPr>
        <w:tblpPr w:leftFromText="141" w:rightFromText="141" w:vertAnchor="text" w:horzAnchor="margin" w:tblpXSpec="center" w:tblpY="1554"/>
        <w:tblW w:w="11010" w:type="dxa"/>
        <w:tblBorders>
          <w:top w:val="outset" w:sz="6" w:space="0" w:color="555555"/>
          <w:left w:val="outset" w:sz="6" w:space="0" w:color="555555"/>
          <w:bottom w:val="outset" w:sz="6" w:space="0" w:color="555555"/>
          <w:right w:val="outset" w:sz="6" w:space="0" w:color="555555"/>
        </w:tblBorders>
        <w:shd w:val="clear" w:color="auto" w:fill="F6F6F6"/>
        <w:tblCellMar>
          <w:top w:w="15" w:type="dxa"/>
          <w:left w:w="15" w:type="dxa"/>
          <w:bottom w:w="15" w:type="dxa"/>
          <w:right w:w="15" w:type="dxa"/>
        </w:tblCellMar>
        <w:tblLook w:val="04A0" w:firstRow="1" w:lastRow="0" w:firstColumn="1" w:lastColumn="0" w:noHBand="0" w:noVBand="1"/>
      </w:tblPr>
      <w:tblGrid>
        <w:gridCol w:w="7739"/>
        <w:gridCol w:w="3271"/>
      </w:tblGrid>
      <w:tr w:rsidR="00AB447C" w:rsidRPr="00C47C3C" w:rsidTr="00070795">
        <w:tc>
          <w:tcPr>
            <w:tcW w:w="7739"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lastRenderedPageBreak/>
              <w:t>Nivel Asistencial</w:t>
            </w:r>
          </w:p>
        </w:tc>
        <w:tc>
          <w:tcPr>
            <w:tcW w:w="327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t>100 %</w:t>
            </w:r>
          </w:p>
        </w:tc>
      </w:tr>
      <w:tr w:rsidR="00AB447C" w:rsidRPr="00C47C3C" w:rsidTr="00070795">
        <w:tc>
          <w:tcPr>
            <w:tcW w:w="7739"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t>Primeros 10 puntajes</w:t>
            </w:r>
          </w:p>
        </w:tc>
        <w:tc>
          <w:tcPr>
            <w:tcW w:w="327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t>100 %</w:t>
            </w:r>
          </w:p>
        </w:tc>
      </w:tr>
      <w:tr w:rsidR="00AB447C" w:rsidRPr="00C47C3C" w:rsidTr="00070795">
        <w:tc>
          <w:tcPr>
            <w:tcW w:w="7739"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t>Las demás Solicitudes</w:t>
            </w:r>
          </w:p>
        </w:tc>
        <w:tc>
          <w:tcPr>
            <w:tcW w:w="327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AB447C" w:rsidRPr="00C47C3C" w:rsidRDefault="00AB447C" w:rsidP="00070795">
            <w:pPr>
              <w:spacing w:before="225" w:after="225" w:line="315" w:lineRule="atLeast"/>
              <w:jc w:val="center"/>
              <w:rPr>
                <w:rFonts w:eastAsia="Times New Roman" w:cstheme="minorHAnsi"/>
                <w:color w:val="555555"/>
                <w:spacing w:val="5"/>
                <w:lang w:eastAsia="es-CO"/>
              </w:rPr>
            </w:pPr>
            <w:r w:rsidRPr="00C47C3C">
              <w:rPr>
                <w:rFonts w:eastAsia="Times New Roman" w:cstheme="minorHAnsi"/>
                <w:color w:val="555555"/>
                <w:spacing w:val="5"/>
                <w:lang w:eastAsia="es-CO"/>
              </w:rPr>
              <w:t>78 %</w:t>
            </w:r>
          </w:p>
        </w:tc>
      </w:tr>
    </w:tbl>
    <w:p w:rsidR="00AB447C" w:rsidRPr="00C47C3C" w:rsidRDefault="00AB447C" w:rsidP="00C71BAB">
      <w:pPr>
        <w:rPr>
          <w:rFonts w:cstheme="minorHAnsi"/>
        </w:rPr>
      </w:pPr>
    </w:p>
    <w:p w:rsidR="00AB447C" w:rsidRPr="00C47C3C" w:rsidRDefault="00AB447C" w:rsidP="00C71BAB">
      <w:pPr>
        <w:rPr>
          <w:rFonts w:cstheme="minorHAnsi"/>
        </w:rPr>
      </w:pPr>
    </w:p>
    <w:p w:rsidR="00AB447C" w:rsidRPr="00C47C3C" w:rsidRDefault="00AB447C" w:rsidP="00C71BAB">
      <w:pPr>
        <w:rPr>
          <w:rFonts w:cstheme="minorHAnsi"/>
        </w:rPr>
      </w:pPr>
    </w:p>
    <w:p w:rsidR="00AB447C" w:rsidRPr="00C47C3C" w:rsidRDefault="00AB447C" w:rsidP="00C71BAB">
      <w:pPr>
        <w:rPr>
          <w:rStyle w:val="nfasis"/>
          <w:rFonts w:cstheme="minorHAnsi"/>
        </w:rPr>
      </w:pPr>
    </w:p>
    <w:p w:rsidR="00C71BAB" w:rsidRPr="00C47C3C" w:rsidRDefault="00C71BAB" w:rsidP="00C71BAB">
      <w:pPr>
        <w:rPr>
          <w:rStyle w:val="nfasis"/>
          <w:rFonts w:cstheme="minorHAnsi"/>
        </w:rPr>
      </w:pPr>
      <w:r w:rsidRPr="00C47C3C">
        <w:rPr>
          <w:rStyle w:val="nfasis"/>
          <w:rFonts w:cstheme="minorHAnsi"/>
        </w:rPr>
        <w:t>Distribución de Solicitudes Aprobadas por Nivel Jerárquico</w:t>
      </w:r>
    </w:p>
    <w:tbl>
      <w:tblPr>
        <w:tblW w:w="10317" w:type="dxa"/>
        <w:tblInd w:w="-434" w:type="dxa"/>
        <w:tblBorders>
          <w:top w:val="outset" w:sz="6" w:space="0" w:color="555555"/>
          <w:left w:val="outset" w:sz="6" w:space="0" w:color="555555"/>
          <w:bottom w:val="outset" w:sz="6" w:space="0" w:color="555555"/>
          <w:right w:val="outset" w:sz="6" w:space="0" w:color="555555"/>
        </w:tblBorders>
        <w:shd w:val="clear" w:color="auto" w:fill="F6F6F6"/>
        <w:tblCellMar>
          <w:top w:w="15" w:type="dxa"/>
          <w:left w:w="15" w:type="dxa"/>
          <w:bottom w:w="15" w:type="dxa"/>
          <w:right w:w="15" w:type="dxa"/>
        </w:tblCellMar>
        <w:tblLook w:val="04A0" w:firstRow="1" w:lastRow="0" w:firstColumn="1" w:lastColumn="0" w:noHBand="0" w:noVBand="1"/>
      </w:tblPr>
      <w:tblGrid>
        <w:gridCol w:w="2800"/>
        <w:gridCol w:w="1078"/>
        <w:gridCol w:w="1377"/>
        <w:gridCol w:w="1145"/>
        <w:gridCol w:w="1462"/>
        <w:gridCol w:w="1078"/>
        <w:gridCol w:w="1377"/>
      </w:tblGrid>
      <w:tr w:rsidR="001824DA" w:rsidRPr="00C47C3C" w:rsidTr="001824DA">
        <w:trPr>
          <w:trHeight w:val="2"/>
        </w:trPr>
        <w:tc>
          <w:tcPr>
            <w:tcW w:w="2952"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Nivel Central</w:t>
            </w:r>
          </w:p>
        </w:tc>
        <w:tc>
          <w:tcPr>
            <w:tcW w:w="0" w:type="auto"/>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Gerencias Departamentales</w:t>
            </w:r>
          </w:p>
        </w:tc>
        <w:tc>
          <w:tcPr>
            <w:tcW w:w="0" w:type="auto"/>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Total General</w:t>
            </w:r>
          </w:p>
        </w:tc>
      </w:tr>
      <w:tr w:rsidR="001824DA" w:rsidRPr="00C47C3C" w:rsidTr="001824DA">
        <w:trPr>
          <w:trHeight w:val="3"/>
        </w:trPr>
        <w:tc>
          <w:tcPr>
            <w:tcW w:w="2952" w:type="dxa"/>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Cargo</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r>
      <w:tr w:rsidR="001824DA" w:rsidRPr="00C47C3C" w:rsidTr="001824DA">
        <w:trPr>
          <w:trHeight w:val="5"/>
        </w:trPr>
        <w:tc>
          <w:tcPr>
            <w:tcW w:w="2952"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Auxiliar Administrativo Niveles 1 al 4</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8</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$26.427.399</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8</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$30.165.089</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16</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$56.592.488</w:t>
            </w:r>
          </w:p>
        </w:tc>
      </w:tr>
      <w:tr w:rsidR="001824DA" w:rsidRPr="00C47C3C" w:rsidTr="001824DA">
        <w:trPr>
          <w:trHeight w:val="5"/>
        </w:trPr>
        <w:tc>
          <w:tcPr>
            <w:tcW w:w="2952"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Profesionales universitarios grado 01 y 02</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16</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$123.846.852</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33</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$191.918.658</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49</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$315.715.510</w:t>
            </w:r>
          </w:p>
        </w:tc>
      </w:tr>
      <w:tr w:rsidR="001824DA" w:rsidRPr="00C47C3C" w:rsidTr="001824DA">
        <w:trPr>
          <w:trHeight w:val="3"/>
        </w:trPr>
        <w:tc>
          <w:tcPr>
            <w:tcW w:w="2952"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Coordinadores de Gestión</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$12.373.005</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$5.536.440</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3</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$17.909.445</w:t>
            </w:r>
          </w:p>
        </w:tc>
      </w:tr>
      <w:tr w:rsidR="001824DA" w:rsidRPr="00C47C3C" w:rsidTr="001824DA">
        <w:trPr>
          <w:trHeight w:val="3"/>
        </w:trPr>
        <w:tc>
          <w:tcPr>
            <w:tcW w:w="2952"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Directores Grado 03</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$12.215.580</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w:t>
            </w:r>
          </w:p>
        </w:tc>
        <w:tc>
          <w:tcPr>
            <w:tcW w:w="1078"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w:t>
            </w:r>
          </w:p>
        </w:tc>
        <w:tc>
          <w:tcPr>
            <w:tcW w:w="137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$12.215.580</w:t>
            </w:r>
          </w:p>
        </w:tc>
      </w:tr>
      <w:tr w:rsidR="001824DA" w:rsidRPr="00C47C3C" w:rsidTr="001824DA">
        <w:trPr>
          <w:trHeight w:val="2"/>
        </w:trPr>
        <w:tc>
          <w:tcPr>
            <w:tcW w:w="2952" w:type="dxa"/>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Totales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27</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$174.862.836</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42</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$227.620.187</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69</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$402.483.023</w:t>
            </w:r>
          </w:p>
        </w:tc>
      </w:tr>
    </w:tbl>
    <w:p w:rsidR="001824DA" w:rsidRPr="00C47C3C" w:rsidRDefault="001824DA" w:rsidP="00C71BAB">
      <w:pPr>
        <w:rPr>
          <w:rFonts w:cstheme="minorHAnsi"/>
        </w:rPr>
      </w:pPr>
    </w:p>
    <w:p w:rsidR="001824DA" w:rsidRPr="00C47C3C" w:rsidRDefault="001824DA" w:rsidP="00C71BAB">
      <w:pPr>
        <w:rPr>
          <w:rFonts w:cstheme="minorHAnsi"/>
        </w:rPr>
      </w:pPr>
    </w:p>
    <w:p w:rsidR="00AB447C" w:rsidRPr="00C47C3C" w:rsidRDefault="00AB447C" w:rsidP="00C71BAB">
      <w:pPr>
        <w:rPr>
          <w:rFonts w:cstheme="minorHAnsi"/>
        </w:rPr>
      </w:pPr>
    </w:p>
    <w:p w:rsidR="001824DA" w:rsidRPr="00C47C3C" w:rsidRDefault="001824DA" w:rsidP="00C71BAB">
      <w:pPr>
        <w:rPr>
          <w:rFonts w:cstheme="minorHAnsi"/>
        </w:rPr>
      </w:pPr>
    </w:p>
    <w:p w:rsidR="00C71BAB" w:rsidRPr="00C47C3C" w:rsidRDefault="00C71BAB" w:rsidP="00C71BAB">
      <w:pPr>
        <w:rPr>
          <w:rFonts w:cstheme="minorHAnsi"/>
        </w:rPr>
      </w:pPr>
      <w:r w:rsidRPr="00C47C3C">
        <w:rPr>
          <w:rFonts w:cstheme="minorHAnsi"/>
        </w:rPr>
        <w:t>Distribución de solicitudes aprobadas por tipo de estudio</w:t>
      </w:r>
    </w:p>
    <w:tbl>
      <w:tblPr>
        <w:tblW w:w="10396" w:type="dxa"/>
        <w:tblInd w:w="-481" w:type="dxa"/>
        <w:tblBorders>
          <w:top w:val="outset" w:sz="6" w:space="0" w:color="555555"/>
          <w:left w:val="outset" w:sz="6" w:space="0" w:color="555555"/>
          <w:bottom w:val="outset" w:sz="6" w:space="0" w:color="555555"/>
          <w:right w:val="outset" w:sz="6" w:space="0" w:color="555555"/>
        </w:tblBorders>
        <w:shd w:val="clear" w:color="auto" w:fill="F6F6F6"/>
        <w:tblCellMar>
          <w:top w:w="15" w:type="dxa"/>
          <w:left w:w="15" w:type="dxa"/>
          <w:bottom w:w="15" w:type="dxa"/>
          <w:right w:w="15" w:type="dxa"/>
        </w:tblCellMar>
        <w:tblLook w:val="04A0" w:firstRow="1" w:lastRow="0" w:firstColumn="1" w:lastColumn="0" w:noHBand="0" w:noVBand="1"/>
      </w:tblPr>
      <w:tblGrid>
        <w:gridCol w:w="1759"/>
        <w:gridCol w:w="1275"/>
        <w:gridCol w:w="1630"/>
        <w:gridCol w:w="1352"/>
        <w:gridCol w:w="1727"/>
        <w:gridCol w:w="1276"/>
        <w:gridCol w:w="1377"/>
      </w:tblGrid>
      <w:tr w:rsidR="00C71BAB" w:rsidRPr="00C47C3C" w:rsidTr="001824DA">
        <w:tc>
          <w:tcPr>
            <w:tcW w:w="1813"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lastRenderedPageBreak/>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Nivel Central</w:t>
            </w:r>
          </w:p>
        </w:tc>
        <w:tc>
          <w:tcPr>
            <w:tcW w:w="0" w:type="auto"/>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Gerencias Departamentales</w:t>
            </w:r>
          </w:p>
        </w:tc>
        <w:tc>
          <w:tcPr>
            <w:tcW w:w="2383" w:type="dxa"/>
            <w:gridSpan w:val="2"/>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Total General</w:t>
            </w:r>
          </w:p>
        </w:tc>
      </w:tr>
      <w:tr w:rsidR="00C71BAB" w:rsidRPr="00C47C3C" w:rsidTr="001824DA">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Cargo</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No. Solicitudes</w:t>
            </w:r>
          </w:p>
        </w:tc>
        <w:tc>
          <w:tcPr>
            <w:tcW w:w="1067" w:type="dxa"/>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Valor</w:t>
            </w:r>
          </w:p>
        </w:tc>
      </w:tr>
      <w:tr w:rsidR="00C71BAB" w:rsidRPr="00C47C3C" w:rsidTr="001824DA">
        <w:tc>
          <w:tcPr>
            <w:tcW w:w="1813"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Pregrado (Técnico, Tecnológico y Universitario)</w:t>
            </w:r>
          </w:p>
        </w:tc>
        <w:tc>
          <w:tcPr>
            <w:tcW w:w="1315"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8</w:t>
            </w:r>
          </w:p>
        </w:tc>
        <w:tc>
          <w:tcPr>
            <w:tcW w:w="168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$23.980.520</w:t>
            </w:r>
          </w:p>
        </w:tc>
        <w:tc>
          <w:tcPr>
            <w:tcW w:w="140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11</w:t>
            </w:r>
          </w:p>
        </w:tc>
        <w:tc>
          <w:tcPr>
            <w:tcW w:w="179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$21.696.871</w:t>
            </w:r>
          </w:p>
        </w:tc>
        <w:tc>
          <w:tcPr>
            <w:tcW w:w="1316"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19</w:t>
            </w:r>
          </w:p>
        </w:tc>
        <w:tc>
          <w:tcPr>
            <w:tcW w:w="106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$45.677.391</w:t>
            </w:r>
          </w:p>
        </w:tc>
      </w:tr>
      <w:tr w:rsidR="00C71BAB" w:rsidRPr="00C47C3C" w:rsidTr="001824DA">
        <w:tc>
          <w:tcPr>
            <w:tcW w:w="1813"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Especialización</w:t>
            </w:r>
          </w:p>
        </w:tc>
        <w:tc>
          <w:tcPr>
            <w:tcW w:w="1315"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5</w:t>
            </w:r>
          </w:p>
        </w:tc>
        <w:tc>
          <w:tcPr>
            <w:tcW w:w="168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$ 41.295.380</w:t>
            </w:r>
          </w:p>
        </w:tc>
        <w:tc>
          <w:tcPr>
            <w:tcW w:w="140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15</w:t>
            </w:r>
          </w:p>
        </w:tc>
        <w:tc>
          <w:tcPr>
            <w:tcW w:w="179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$81.670.012</w:t>
            </w:r>
          </w:p>
        </w:tc>
        <w:tc>
          <w:tcPr>
            <w:tcW w:w="1316"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20</w:t>
            </w:r>
          </w:p>
        </w:tc>
        <w:tc>
          <w:tcPr>
            <w:tcW w:w="106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$122.965.392</w:t>
            </w:r>
          </w:p>
        </w:tc>
      </w:tr>
      <w:tr w:rsidR="00C71BAB" w:rsidRPr="00C47C3C" w:rsidTr="001824DA">
        <w:tc>
          <w:tcPr>
            <w:tcW w:w="1813"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Maestría</w:t>
            </w:r>
          </w:p>
        </w:tc>
        <w:tc>
          <w:tcPr>
            <w:tcW w:w="1315"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14</w:t>
            </w:r>
          </w:p>
        </w:tc>
        <w:tc>
          <w:tcPr>
            <w:tcW w:w="1681"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$109.586.936</w:t>
            </w:r>
          </w:p>
        </w:tc>
        <w:tc>
          <w:tcPr>
            <w:tcW w:w="140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16</w:t>
            </w:r>
          </w:p>
        </w:tc>
        <w:tc>
          <w:tcPr>
            <w:tcW w:w="179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$124.253.304</w:t>
            </w:r>
          </w:p>
        </w:tc>
        <w:tc>
          <w:tcPr>
            <w:tcW w:w="1316"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30</w:t>
            </w:r>
          </w:p>
        </w:tc>
        <w:tc>
          <w:tcPr>
            <w:tcW w:w="1067" w:type="dxa"/>
            <w:tcBorders>
              <w:top w:val="outset" w:sz="6" w:space="0" w:color="auto"/>
              <w:left w:val="outset" w:sz="6" w:space="0" w:color="auto"/>
              <w:bottom w:val="outset" w:sz="6" w:space="0" w:color="auto"/>
              <w:right w:val="outset" w:sz="6" w:space="0" w:color="auto"/>
            </w:tcBorders>
            <w:shd w:val="clear" w:color="auto" w:fill="F6F6F6"/>
            <w:tcMar>
              <w:top w:w="75" w:type="dxa"/>
              <w:left w:w="75" w:type="dxa"/>
              <w:bottom w:w="75" w:type="dxa"/>
              <w:right w:w="75" w:type="dxa"/>
            </w:tcMar>
            <w:vAlign w:val="center"/>
            <w:hideMark/>
          </w:tcPr>
          <w:p w:rsidR="00C71BAB" w:rsidRPr="00C47C3C" w:rsidRDefault="00C71BAB" w:rsidP="00C71BAB">
            <w:pPr>
              <w:rPr>
                <w:rFonts w:cstheme="minorHAnsi"/>
              </w:rPr>
            </w:pPr>
            <w:r w:rsidRPr="00C47C3C">
              <w:rPr>
                <w:rFonts w:cstheme="minorHAnsi"/>
              </w:rPr>
              <w:t>$233.840.240</w:t>
            </w:r>
          </w:p>
        </w:tc>
      </w:tr>
      <w:tr w:rsidR="00C71BAB" w:rsidRPr="00C47C3C" w:rsidTr="001824DA">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Totales</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27</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$ 174.862.836</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42</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$ 227.620.187</w:t>
            </w:r>
          </w:p>
        </w:tc>
        <w:tc>
          <w:tcPr>
            <w:tcW w:w="0" w:type="auto"/>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69</w:t>
            </w:r>
          </w:p>
        </w:tc>
        <w:tc>
          <w:tcPr>
            <w:tcW w:w="1067" w:type="dxa"/>
            <w:tcBorders>
              <w:top w:val="outset" w:sz="6" w:space="0" w:color="auto"/>
              <w:left w:val="outset" w:sz="6" w:space="0" w:color="auto"/>
              <w:bottom w:val="outset" w:sz="6" w:space="0" w:color="auto"/>
              <w:right w:val="outset" w:sz="6" w:space="0" w:color="auto"/>
            </w:tcBorders>
            <w:shd w:val="clear" w:color="auto" w:fill="F6F6F6"/>
            <w:tcMar>
              <w:top w:w="45" w:type="dxa"/>
              <w:left w:w="45" w:type="dxa"/>
              <w:bottom w:w="45" w:type="dxa"/>
              <w:right w:w="45" w:type="dxa"/>
            </w:tcMar>
            <w:vAlign w:val="center"/>
            <w:hideMark/>
          </w:tcPr>
          <w:p w:rsidR="00C71BAB" w:rsidRPr="00C47C3C" w:rsidRDefault="00C71BAB" w:rsidP="00C71BAB">
            <w:pPr>
              <w:rPr>
                <w:rFonts w:cstheme="minorHAnsi"/>
                <w:b/>
                <w:bCs/>
              </w:rPr>
            </w:pPr>
            <w:r w:rsidRPr="00C47C3C">
              <w:rPr>
                <w:rFonts w:cstheme="minorHAnsi"/>
                <w:b/>
                <w:bCs/>
              </w:rPr>
              <w:t>$ 402.483.023</w:t>
            </w:r>
          </w:p>
        </w:tc>
      </w:tr>
    </w:tbl>
    <w:p w:rsidR="00796AB8" w:rsidRPr="00C47C3C" w:rsidRDefault="00796AB8">
      <w:pPr>
        <w:rPr>
          <w:rFonts w:cstheme="minorHAnsi"/>
        </w:rPr>
      </w:pPr>
      <w:bookmarkStart w:id="0" w:name="_GoBack"/>
      <w:bookmarkEnd w:id="0"/>
    </w:p>
    <w:p w:rsidR="00796AB8" w:rsidRPr="00C47C3C" w:rsidRDefault="009917F8" w:rsidP="009917F8">
      <w:pPr>
        <w:pStyle w:val="Sinespaciado"/>
        <w:jc w:val="both"/>
        <w:rPr>
          <w:rFonts w:eastAsia="Calibri" w:cstheme="minorHAnsi"/>
          <w:color w:val="000000"/>
        </w:rPr>
      </w:pPr>
      <w:r w:rsidRPr="00C47C3C">
        <w:rPr>
          <w:rFonts w:eastAsia="Calibri" w:cstheme="minorHAnsi"/>
          <w:color w:val="000000"/>
        </w:rPr>
        <w:t>*</w:t>
      </w:r>
      <w:r w:rsidR="00796AB8" w:rsidRPr="00C47C3C">
        <w:rPr>
          <w:rFonts w:eastAsia="Calibri" w:cstheme="minorHAnsi"/>
          <w:color w:val="000000"/>
        </w:rPr>
        <w:t>Tareas:</w:t>
      </w:r>
    </w:p>
    <w:p w:rsidR="00796AB8" w:rsidRPr="00C47C3C" w:rsidRDefault="00796AB8" w:rsidP="009917F8">
      <w:pPr>
        <w:pStyle w:val="Sinespaciado"/>
        <w:jc w:val="both"/>
        <w:rPr>
          <w:rFonts w:eastAsia="Calibri" w:cstheme="minorHAnsi"/>
          <w:color w:val="000000"/>
        </w:rPr>
      </w:pPr>
      <w:r w:rsidRPr="00C47C3C">
        <w:rPr>
          <w:rFonts w:eastAsia="Calibri" w:cstheme="minorHAnsi"/>
          <w:color w:val="000000"/>
        </w:rPr>
        <w:t>En las próximas semanas se efectuará una convocatoria y reunión con los ingenieros de sistemas y electrónicos del nivel central</w:t>
      </w:r>
      <w:r w:rsidR="009917F8" w:rsidRPr="00C47C3C">
        <w:rPr>
          <w:rFonts w:eastAsia="Calibri" w:cstheme="minorHAnsi"/>
          <w:color w:val="000000"/>
        </w:rPr>
        <w:t>,</w:t>
      </w:r>
      <w:r w:rsidRPr="00C47C3C">
        <w:rPr>
          <w:rFonts w:eastAsia="Calibri" w:cstheme="minorHAnsi"/>
          <w:color w:val="000000"/>
        </w:rPr>
        <w:t xml:space="preserve"> para concertar las necesidades de capacitación específica, </w:t>
      </w:r>
      <w:r w:rsidR="009917F8" w:rsidRPr="00C47C3C">
        <w:rPr>
          <w:rFonts w:eastAsia="Calibri" w:cstheme="minorHAnsi"/>
          <w:color w:val="000000"/>
        </w:rPr>
        <w:t>especialmente</w:t>
      </w:r>
      <w:r w:rsidRPr="00C47C3C">
        <w:rPr>
          <w:rFonts w:eastAsia="Calibri" w:cstheme="minorHAnsi"/>
          <w:color w:val="000000"/>
        </w:rPr>
        <w:t xml:space="preserve"> relacionadas</w:t>
      </w:r>
      <w:r w:rsidR="009917F8" w:rsidRPr="00C47C3C">
        <w:rPr>
          <w:rFonts w:eastAsia="Calibri" w:cstheme="minorHAnsi"/>
          <w:color w:val="000000"/>
        </w:rPr>
        <w:t xml:space="preserve"> con las funciones d</w:t>
      </w:r>
      <w:r w:rsidRPr="00C47C3C">
        <w:rPr>
          <w:rFonts w:eastAsia="Calibri" w:cstheme="minorHAnsi"/>
          <w:color w:val="000000"/>
        </w:rPr>
        <w:t>e apoyo en algunas dependencias</w:t>
      </w:r>
      <w:r w:rsidR="009917F8" w:rsidRPr="00C47C3C">
        <w:rPr>
          <w:rFonts w:eastAsia="Calibri" w:cstheme="minorHAnsi"/>
          <w:color w:val="000000"/>
        </w:rPr>
        <w:t xml:space="preserve"> y presentarlas a la nueva administración. </w:t>
      </w:r>
      <w:r w:rsidRPr="00C47C3C">
        <w:rPr>
          <w:rFonts w:eastAsia="Calibri" w:cstheme="minorHAnsi"/>
          <w:color w:val="000000"/>
        </w:rPr>
        <w:t xml:space="preserve"> </w:t>
      </w:r>
    </w:p>
    <w:p w:rsidR="00977D8E" w:rsidRPr="00C47C3C" w:rsidRDefault="00977D8E" w:rsidP="009917F8">
      <w:pPr>
        <w:pStyle w:val="Sinespaciado"/>
        <w:jc w:val="both"/>
        <w:rPr>
          <w:rFonts w:eastAsia="Calibri" w:cstheme="minorHAnsi"/>
          <w:color w:val="000000"/>
        </w:rPr>
      </w:pPr>
    </w:p>
    <w:p w:rsidR="00977D8E" w:rsidRPr="00C47C3C" w:rsidRDefault="00977D8E" w:rsidP="009917F8">
      <w:pPr>
        <w:pStyle w:val="Sinespaciado"/>
        <w:jc w:val="both"/>
        <w:rPr>
          <w:rFonts w:eastAsia="Calibri" w:cstheme="minorHAnsi"/>
          <w:color w:val="000000"/>
        </w:rPr>
      </w:pPr>
      <w:r w:rsidRPr="00C47C3C">
        <w:rPr>
          <w:rFonts w:eastAsia="Calibri" w:cstheme="minorHAnsi"/>
          <w:color w:val="000000"/>
        </w:rPr>
        <w:t>Saludo cordial,</w:t>
      </w:r>
    </w:p>
    <w:p w:rsidR="00977D8E" w:rsidRPr="00C47C3C" w:rsidRDefault="00977D8E" w:rsidP="009917F8">
      <w:pPr>
        <w:pStyle w:val="Sinespaciado"/>
        <w:jc w:val="both"/>
        <w:rPr>
          <w:rFonts w:eastAsia="Calibri" w:cstheme="minorHAnsi"/>
          <w:color w:val="000000"/>
        </w:rPr>
      </w:pPr>
    </w:p>
    <w:p w:rsidR="00977D8E" w:rsidRPr="00C47C3C" w:rsidRDefault="00977D8E" w:rsidP="009917F8">
      <w:pPr>
        <w:pStyle w:val="Sinespaciado"/>
        <w:jc w:val="both"/>
        <w:rPr>
          <w:rFonts w:eastAsia="Calibri" w:cstheme="minorHAnsi"/>
          <w:color w:val="000000"/>
        </w:rPr>
      </w:pPr>
    </w:p>
    <w:p w:rsidR="00977D8E" w:rsidRPr="00C47C3C" w:rsidRDefault="00977D8E" w:rsidP="009917F8">
      <w:pPr>
        <w:pStyle w:val="Sinespaciado"/>
        <w:jc w:val="both"/>
        <w:rPr>
          <w:rFonts w:eastAsia="Calibri" w:cstheme="minorHAnsi"/>
          <w:color w:val="000000"/>
        </w:rPr>
      </w:pPr>
    </w:p>
    <w:p w:rsidR="00977D8E" w:rsidRPr="00C47C3C" w:rsidRDefault="00977D8E" w:rsidP="009917F8">
      <w:pPr>
        <w:pStyle w:val="Sinespaciado"/>
        <w:jc w:val="both"/>
        <w:rPr>
          <w:rFonts w:eastAsia="Calibri" w:cstheme="minorHAnsi"/>
          <w:color w:val="000000"/>
        </w:rPr>
      </w:pPr>
      <w:r w:rsidRPr="00C47C3C">
        <w:rPr>
          <w:rFonts w:eastAsia="Calibri" w:cstheme="minorHAnsi"/>
          <w:color w:val="000000"/>
        </w:rPr>
        <w:t xml:space="preserve">Roberto A. Dáger Espeleta </w:t>
      </w:r>
    </w:p>
    <w:p w:rsidR="00977D8E" w:rsidRPr="00C47C3C" w:rsidRDefault="00977D8E" w:rsidP="009917F8">
      <w:pPr>
        <w:pStyle w:val="Sinespaciado"/>
        <w:jc w:val="both"/>
        <w:rPr>
          <w:rFonts w:eastAsia="Calibri" w:cstheme="minorHAnsi"/>
          <w:color w:val="000000"/>
        </w:rPr>
      </w:pPr>
      <w:r w:rsidRPr="00C47C3C">
        <w:rPr>
          <w:rFonts w:eastAsia="Calibri" w:cstheme="minorHAnsi"/>
          <w:color w:val="000000"/>
        </w:rPr>
        <w:t xml:space="preserve">Representante de los trabajadores ante el Comité Asesor del CEF </w:t>
      </w:r>
    </w:p>
    <w:sectPr w:rsidR="00977D8E" w:rsidRPr="00C47C3C" w:rsidSect="00D53350">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3F3"/>
    <w:multiLevelType w:val="hybridMultilevel"/>
    <w:tmpl w:val="30B018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622B4A"/>
    <w:multiLevelType w:val="hybridMultilevel"/>
    <w:tmpl w:val="1C9AC7A4"/>
    <w:lvl w:ilvl="0" w:tplc="18CEF72C">
      <w:start w:val="3"/>
      <w:numFmt w:val="decimal"/>
      <w:lvlText w:val="%1."/>
      <w:lvlJc w:val="left"/>
      <w:pPr>
        <w:ind w:left="1080" w:hanging="360"/>
      </w:pPr>
      <w:rPr>
        <w:rFonts w:ascii="Calibri" w:hAnsi="Calibri" w:cs="Times New Roman" w:hint="default"/>
        <w:color w:val="000000"/>
        <w:sz w:val="27"/>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57A569F"/>
    <w:multiLevelType w:val="hybridMultilevel"/>
    <w:tmpl w:val="9E8E3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D7308B"/>
    <w:multiLevelType w:val="hybridMultilevel"/>
    <w:tmpl w:val="D41CF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DF4F25"/>
    <w:multiLevelType w:val="hybridMultilevel"/>
    <w:tmpl w:val="F15E4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E5C13C8"/>
    <w:multiLevelType w:val="hybridMultilevel"/>
    <w:tmpl w:val="DB26C1A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11053D2"/>
    <w:multiLevelType w:val="hybridMultilevel"/>
    <w:tmpl w:val="0B540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AB"/>
    <w:rsid w:val="00091CD9"/>
    <w:rsid w:val="001824DA"/>
    <w:rsid w:val="004140F8"/>
    <w:rsid w:val="006C6C74"/>
    <w:rsid w:val="00796AB8"/>
    <w:rsid w:val="007D5470"/>
    <w:rsid w:val="008637E0"/>
    <w:rsid w:val="008700AD"/>
    <w:rsid w:val="009564CA"/>
    <w:rsid w:val="00977D8E"/>
    <w:rsid w:val="009917F8"/>
    <w:rsid w:val="00AB447C"/>
    <w:rsid w:val="00B27AB4"/>
    <w:rsid w:val="00C47C3C"/>
    <w:rsid w:val="00C71BAB"/>
    <w:rsid w:val="00D53350"/>
    <w:rsid w:val="00E14BF5"/>
    <w:rsid w:val="00E326FC"/>
    <w:rsid w:val="00E73E29"/>
    <w:rsid w:val="00E932A1"/>
    <w:rsid w:val="00FE66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C50C"/>
  <w15:chartTrackingRefBased/>
  <w15:docId w15:val="{B64B6FD4-9908-4F6D-B43B-F4079E6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content">
    <w:name w:val="paracontent"/>
    <w:basedOn w:val="Normal"/>
    <w:rsid w:val="001824D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1824DA"/>
    <w:pPr>
      <w:spacing w:after="0" w:line="240" w:lineRule="auto"/>
    </w:pPr>
  </w:style>
  <w:style w:type="paragraph" w:styleId="Prrafodelista">
    <w:name w:val="List Paragraph"/>
    <w:basedOn w:val="Normal"/>
    <w:uiPriority w:val="34"/>
    <w:qFormat/>
    <w:rsid w:val="008700AD"/>
    <w:pPr>
      <w:ind w:left="720"/>
      <w:contextualSpacing/>
    </w:pPr>
  </w:style>
  <w:style w:type="paragraph" w:styleId="Piedepgina">
    <w:name w:val="footer"/>
    <w:basedOn w:val="Normal"/>
    <w:link w:val="PiedepginaCar"/>
    <w:unhideWhenUsed/>
    <w:rsid w:val="008700AD"/>
    <w:pPr>
      <w:tabs>
        <w:tab w:val="center" w:pos="4419"/>
        <w:tab w:val="right" w:pos="8838"/>
      </w:tabs>
      <w:spacing w:after="0" w:line="240" w:lineRule="auto"/>
      <w:ind w:left="-142"/>
    </w:pPr>
    <w:rPr>
      <w:rFonts w:ascii="Calibri" w:eastAsia="Calibri" w:hAnsi="Calibri" w:cs="Times New Roman"/>
    </w:rPr>
  </w:style>
  <w:style w:type="character" w:customStyle="1" w:styleId="PiedepginaCar">
    <w:name w:val="Pie de página Car"/>
    <w:basedOn w:val="Fuentedeprrafopredeter"/>
    <w:link w:val="Piedepgina"/>
    <w:rsid w:val="008700AD"/>
    <w:rPr>
      <w:rFonts w:ascii="Calibri" w:eastAsia="Calibri" w:hAnsi="Calibri" w:cs="Times New Roman"/>
    </w:rPr>
  </w:style>
  <w:style w:type="paragraph" w:customStyle="1" w:styleId="xmsonormal">
    <w:name w:val="x_msonormal"/>
    <w:basedOn w:val="Normal"/>
    <w:rsid w:val="008700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8700A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8700AD"/>
  </w:style>
  <w:style w:type="character" w:styleId="nfasis">
    <w:name w:val="Emphasis"/>
    <w:basedOn w:val="Fuentedeprrafopredeter"/>
    <w:uiPriority w:val="20"/>
    <w:qFormat/>
    <w:rsid w:val="00B27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90863">
      <w:bodyDiv w:val="1"/>
      <w:marLeft w:val="0"/>
      <w:marRight w:val="0"/>
      <w:marTop w:val="0"/>
      <w:marBottom w:val="0"/>
      <w:divBdr>
        <w:top w:val="none" w:sz="0" w:space="0" w:color="auto"/>
        <w:left w:val="none" w:sz="0" w:space="0" w:color="auto"/>
        <w:bottom w:val="none" w:sz="0" w:space="0" w:color="auto"/>
        <w:right w:val="none" w:sz="0" w:space="0" w:color="auto"/>
      </w:divBdr>
    </w:div>
    <w:div w:id="302153259">
      <w:bodyDiv w:val="1"/>
      <w:marLeft w:val="0"/>
      <w:marRight w:val="0"/>
      <w:marTop w:val="0"/>
      <w:marBottom w:val="0"/>
      <w:divBdr>
        <w:top w:val="none" w:sz="0" w:space="0" w:color="auto"/>
        <w:left w:val="none" w:sz="0" w:space="0" w:color="auto"/>
        <w:bottom w:val="none" w:sz="0" w:space="0" w:color="auto"/>
        <w:right w:val="none" w:sz="0" w:space="0" w:color="auto"/>
      </w:divBdr>
    </w:div>
    <w:div w:id="1163932731">
      <w:bodyDiv w:val="1"/>
      <w:marLeft w:val="0"/>
      <w:marRight w:val="0"/>
      <w:marTop w:val="0"/>
      <w:marBottom w:val="0"/>
      <w:divBdr>
        <w:top w:val="none" w:sz="0" w:space="0" w:color="auto"/>
        <w:left w:val="none" w:sz="0" w:space="0" w:color="auto"/>
        <w:bottom w:val="none" w:sz="0" w:space="0" w:color="auto"/>
        <w:right w:val="none" w:sz="0" w:space="0" w:color="auto"/>
      </w:divBdr>
    </w:div>
    <w:div w:id="1717505261">
      <w:bodyDiv w:val="1"/>
      <w:marLeft w:val="0"/>
      <w:marRight w:val="0"/>
      <w:marTop w:val="0"/>
      <w:marBottom w:val="0"/>
      <w:divBdr>
        <w:top w:val="none" w:sz="0" w:space="0" w:color="auto"/>
        <w:left w:val="none" w:sz="0" w:space="0" w:color="auto"/>
        <w:bottom w:val="none" w:sz="0" w:space="0" w:color="auto"/>
        <w:right w:val="none" w:sz="0" w:space="0" w:color="auto"/>
      </w:divBdr>
    </w:div>
    <w:div w:id="1910459687">
      <w:bodyDiv w:val="1"/>
      <w:marLeft w:val="0"/>
      <w:marRight w:val="0"/>
      <w:marTop w:val="0"/>
      <w:marBottom w:val="0"/>
      <w:divBdr>
        <w:top w:val="none" w:sz="0" w:space="0" w:color="auto"/>
        <w:left w:val="none" w:sz="0" w:space="0" w:color="auto"/>
        <w:bottom w:val="none" w:sz="0" w:space="0" w:color="auto"/>
        <w:right w:val="none" w:sz="0" w:space="0" w:color="auto"/>
      </w:divBdr>
      <w:divsChild>
        <w:div w:id="1081022513">
          <w:marLeft w:val="0"/>
          <w:marRight w:val="0"/>
          <w:marTop w:val="0"/>
          <w:marBottom w:val="0"/>
          <w:divBdr>
            <w:top w:val="none" w:sz="0" w:space="0" w:color="auto"/>
            <w:left w:val="none" w:sz="0" w:space="0" w:color="auto"/>
            <w:bottom w:val="none" w:sz="0" w:space="0" w:color="auto"/>
            <w:right w:val="none" w:sz="0" w:space="0" w:color="auto"/>
          </w:divBdr>
        </w:div>
        <w:div w:id="521165148">
          <w:marLeft w:val="0"/>
          <w:marRight w:val="0"/>
          <w:marTop w:val="0"/>
          <w:marBottom w:val="0"/>
          <w:divBdr>
            <w:top w:val="none" w:sz="0" w:space="0" w:color="auto"/>
            <w:left w:val="none" w:sz="0" w:space="0" w:color="auto"/>
            <w:bottom w:val="none" w:sz="0" w:space="0" w:color="auto"/>
            <w:right w:val="none" w:sz="0" w:space="0" w:color="auto"/>
          </w:divBdr>
        </w:div>
        <w:div w:id="1092629323">
          <w:marLeft w:val="0"/>
          <w:marRight w:val="0"/>
          <w:marTop w:val="0"/>
          <w:marBottom w:val="0"/>
          <w:divBdr>
            <w:top w:val="none" w:sz="0" w:space="0" w:color="auto"/>
            <w:left w:val="none" w:sz="0" w:space="0" w:color="auto"/>
            <w:bottom w:val="none" w:sz="0" w:space="0" w:color="auto"/>
            <w:right w:val="none" w:sz="0" w:space="0" w:color="auto"/>
          </w:divBdr>
        </w:div>
        <w:div w:id="1274248427">
          <w:marLeft w:val="0"/>
          <w:marRight w:val="0"/>
          <w:marTop w:val="0"/>
          <w:marBottom w:val="0"/>
          <w:divBdr>
            <w:top w:val="none" w:sz="0" w:space="0" w:color="auto"/>
            <w:left w:val="none" w:sz="0" w:space="0" w:color="auto"/>
            <w:bottom w:val="none" w:sz="0" w:space="0" w:color="auto"/>
            <w:right w:val="none" w:sz="0" w:space="0" w:color="auto"/>
          </w:divBdr>
        </w:div>
        <w:div w:id="2976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1810</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Dager</dc:creator>
  <cp:keywords/>
  <dc:description/>
  <cp:lastModifiedBy>Yanira ...</cp:lastModifiedBy>
  <cp:revision>11</cp:revision>
  <dcterms:created xsi:type="dcterms:W3CDTF">2018-08-15T13:58:00Z</dcterms:created>
  <dcterms:modified xsi:type="dcterms:W3CDTF">2018-08-29T20:11:00Z</dcterms:modified>
</cp:coreProperties>
</file>